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9"/>
        <w:spacing w:line="520" w:lineRule="exact"/>
        <w:rPr>
          <w:rFonts w:ascii="宋体" w:hAnsi="宋体" w:eastAsia="宋体" w:cs="宋体"/>
        </w:rPr>
      </w:pPr>
    </w:p>
    <w:p>
      <w:pPr>
        <w:pStyle w:val="19"/>
        <w:spacing w:line="520" w:lineRule="exact"/>
        <w:rPr>
          <w:rFonts w:ascii="宋体" w:hAnsi="宋体" w:eastAsia="宋体" w:cs="宋体"/>
        </w:rPr>
      </w:pPr>
    </w:p>
    <w:p>
      <w:pPr>
        <w:pStyle w:val="19"/>
        <w:spacing w:line="520" w:lineRule="exact"/>
        <w:rPr>
          <w:rFonts w:ascii="宋体" w:hAnsi="宋体" w:eastAsia="宋体" w:cs="宋体"/>
        </w:rPr>
      </w:pPr>
    </w:p>
    <w:p>
      <w:pPr>
        <w:spacing w:line="520" w:lineRule="exact"/>
        <w:ind w:left="880" w:hanging="880"/>
        <w:jc w:val="center"/>
        <w:rPr>
          <w:rFonts w:ascii="方正小标宋_GBK" w:eastAsia="方正小标宋_GBK" w:cs="文星简黑体"/>
          <w:sz w:val="44"/>
          <w:szCs w:val="44"/>
        </w:rPr>
      </w:pPr>
      <w:r>
        <w:rPr>
          <w:rFonts w:hint="eastAsia" w:eastAsia="方正小标宋_GBK"/>
          <w:b/>
          <w:sz w:val="44"/>
          <w:szCs w:val="44"/>
          <w:lang w:val="en-US" w:eastAsia="zh-CN"/>
        </w:rPr>
        <w:t>2020</w:t>
      </w:r>
      <w:r>
        <w:rPr>
          <w:rFonts w:hint="eastAsia" w:ascii="方正小标宋_GBK" w:eastAsia="方正小标宋_GBK" w:cs="文星简黑体"/>
          <w:sz w:val="44"/>
          <w:szCs w:val="44"/>
        </w:rPr>
        <w:t>年度</w:t>
      </w:r>
      <w:r>
        <w:rPr>
          <w:rFonts w:hint="eastAsia" w:ascii="方正小标宋_GBK" w:eastAsia="方正小标宋_GBK" w:cs="文星简黑体"/>
          <w:sz w:val="44"/>
          <w:szCs w:val="44"/>
          <w:lang w:val="en-US" w:eastAsia="zh-CN"/>
        </w:rPr>
        <w:t>促消费发展（</w:t>
      </w:r>
      <w:r>
        <w:rPr>
          <w:rFonts w:hint="eastAsia" w:ascii="方正小标宋_GBK" w:eastAsia="方正小标宋_GBK" w:cs="文星简黑体"/>
          <w:sz w:val="44"/>
          <w:szCs w:val="44"/>
        </w:rPr>
        <w:t>星级农贸市场创建</w:t>
      </w:r>
      <w:r>
        <w:rPr>
          <w:rFonts w:hint="eastAsia" w:ascii="方正小标宋_GBK" w:eastAsia="方正小标宋_GBK" w:cs="文星简黑体"/>
          <w:sz w:val="44"/>
          <w:szCs w:val="44"/>
          <w:lang w:eastAsia="zh-CN"/>
        </w:rPr>
        <w:t>）</w:t>
      </w:r>
    </w:p>
    <w:p>
      <w:pPr>
        <w:spacing w:line="520" w:lineRule="exact"/>
        <w:ind w:left="880" w:hanging="880"/>
        <w:jc w:val="center"/>
        <w:rPr>
          <w:rFonts w:ascii="方正小标宋_GBK" w:eastAsia="方正小标宋_GBK" w:cs="文星简黑体"/>
          <w:sz w:val="44"/>
          <w:szCs w:val="44"/>
        </w:rPr>
      </w:pPr>
      <w:r>
        <w:rPr>
          <w:rFonts w:hint="eastAsia" w:ascii="方正小标宋_GBK" w:eastAsia="方正小标宋_GBK" w:cs="文星简黑体"/>
          <w:sz w:val="44"/>
          <w:szCs w:val="44"/>
          <w:lang w:val="en-US" w:eastAsia="zh-CN"/>
        </w:rPr>
        <w:t>专项资金</w:t>
      </w:r>
      <w:r>
        <w:rPr>
          <w:rFonts w:hint="eastAsia" w:ascii="方正小标宋_GBK" w:eastAsia="方正小标宋_GBK" w:cs="文星简黑体"/>
          <w:sz w:val="44"/>
          <w:szCs w:val="44"/>
        </w:rPr>
        <w:t>绩效评价报告</w:t>
      </w:r>
    </w:p>
    <w:p>
      <w:pPr>
        <w:spacing w:line="520" w:lineRule="exact"/>
        <w:ind w:left="1040" w:hanging="1040"/>
        <w:jc w:val="right"/>
        <w:rPr>
          <w:rFonts w:ascii="文星简黑体" w:eastAsia="文星简黑体"/>
          <w:sz w:val="52"/>
          <w:szCs w:val="52"/>
        </w:rPr>
      </w:pPr>
    </w:p>
    <w:p>
      <w:pPr>
        <w:spacing w:line="520" w:lineRule="exact"/>
        <w:ind w:left="1040" w:hanging="1040"/>
        <w:jc w:val="center"/>
        <w:rPr>
          <w:rFonts w:ascii="文星简黑体" w:eastAsia="文星简黑体"/>
          <w:sz w:val="52"/>
          <w:szCs w:val="52"/>
        </w:rPr>
      </w:pPr>
    </w:p>
    <w:p>
      <w:pPr>
        <w:spacing w:line="520" w:lineRule="exact"/>
        <w:ind w:left="1040" w:hanging="1040"/>
        <w:jc w:val="center"/>
        <w:rPr>
          <w:rFonts w:ascii="文星简黑体" w:eastAsia="文星简黑体"/>
          <w:sz w:val="52"/>
          <w:szCs w:val="52"/>
        </w:rPr>
      </w:pPr>
    </w:p>
    <w:p>
      <w:pPr>
        <w:spacing w:before="120" w:after="120" w:line="520" w:lineRule="exact"/>
        <w:ind w:left="640" w:hanging="640"/>
        <w:jc w:val="left"/>
        <w:rPr>
          <w:rFonts w:hint="eastAsia" w:ascii="黑体" w:hAnsi="黑体" w:eastAsia="黑体" w:cs="文星简黑体"/>
          <w:kern w:val="0"/>
          <w:sz w:val="32"/>
          <w:szCs w:val="32"/>
        </w:rPr>
      </w:pPr>
    </w:p>
    <w:p>
      <w:pPr>
        <w:spacing w:before="120" w:after="120" w:line="520" w:lineRule="exact"/>
        <w:ind w:left="640" w:hanging="640"/>
        <w:jc w:val="left"/>
        <w:rPr>
          <w:rFonts w:hint="eastAsia" w:ascii="黑体" w:hAnsi="黑体" w:eastAsia="黑体" w:cs="文星简黑体"/>
          <w:kern w:val="0"/>
          <w:sz w:val="32"/>
          <w:szCs w:val="32"/>
        </w:rPr>
      </w:pPr>
    </w:p>
    <w:p>
      <w:pPr>
        <w:spacing w:before="120" w:after="120" w:line="520" w:lineRule="exact"/>
        <w:ind w:left="640" w:hanging="640"/>
        <w:jc w:val="left"/>
        <w:rPr>
          <w:rFonts w:hint="eastAsia" w:ascii="黑体" w:hAnsi="黑体" w:eastAsia="黑体" w:cs="文星简黑体"/>
          <w:kern w:val="0"/>
          <w:sz w:val="32"/>
          <w:szCs w:val="32"/>
        </w:rPr>
      </w:pPr>
    </w:p>
    <w:p>
      <w:pPr>
        <w:spacing w:before="120" w:after="120" w:line="520" w:lineRule="exact"/>
        <w:ind w:left="640" w:hanging="640"/>
        <w:jc w:val="left"/>
        <w:rPr>
          <w:rFonts w:hint="eastAsia" w:ascii="黑体" w:hAnsi="黑体" w:eastAsia="黑体" w:cs="文星简黑体"/>
          <w:kern w:val="0"/>
          <w:sz w:val="32"/>
          <w:szCs w:val="32"/>
        </w:rPr>
      </w:pPr>
    </w:p>
    <w:p>
      <w:pPr>
        <w:spacing w:before="120" w:after="120" w:line="520" w:lineRule="exact"/>
        <w:ind w:left="640" w:hanging="640"/>
        <w:jc w:val="left"/>
        <w:rPr>
          <w:rFonts w:hint="eastAsia" w:ascii="黑体" w:hAnsi="黑体" w:eastAsia="黑体" w:cs="文星简黑体"/>
          <w:kern w:val="0"/>
          <w:sz w:val="32"/>
          <w:szCs w:val="32"/>
        </w:rPr>
      </w:pPr>
    </w:p>
    <w:p>
      <w:pPr>
        <w:spacing w:before="120" w:after="120" w:line="520" w:lineRule="exact"/>
        <w:ind w:left="640" w:hanging="640"/>
        <w:jc w:val="left"/>
        <w:rPr>
          <w:rFonts w:hint="eastAsia" w:ascii="黑体" w:hAnsi="黑体" w:eastAsia="黑体" w:cs="文星简黑体"/>
          <w:kern w:val="0"/>
          <w:sz w:val="32"/>
          <w:szCs w:val="32"/>
        </w:rPr>
      </w:pPr>
    </w:p>
    <w:p>
      <w:pPr>
        <w:spacing w:before="120" w:after="120" w:line="520" w:lineRule="exact"/>
        <w:ind w:firstLine="1280" w:firstLineChars="400"/>
        <w:jc w:val="left"/>
        <w:rPr>
          <w:rFonts w:ascii="黑体" w:hAnsi="黑体" w:eastAsia="黑体"/>
          <w:sz w:val="32"/>
          <w:szCs w:val="32"/>
        </w:rPr>
      </w:pPr>
      <w:r>
        <w:rPr>
          <w:rFonts w:hint="eastAsia" w:ascii="黑体" w:hAnsi="黑体" w:eastAsia="黑体" w:cs="文星简黑体"/>
          <w:kern w:val="0"/>
          <w:sz w:val="32"/>
          <w:szCs w:val="32"/>
        </w:rPr>
        <w:t>评价单位（盖章）：</w:t>
      </w:r>
      <w:r>
        <w:rPr>
          <w:rFonts w:hint="eastAsia" w:ascii="黑体" w:hAnsi="黑体" w:eastAsia="黑体"/>
          <w:sz w:val="32"/>
          <w:szCs w:val="32"/>
        </w:rPr>
        <w:t>青岛市市场监督管理局</w:t>
      </w:r>
    </w:p>
    <w:p>
      <w:pPr>
        <w:spacing w:before="120" w:after="120" w:line="520" w:lineRule="exact"/>
        <w:ind w:left="640" w:hanging="640"/>
        <w:jc w:val="left"/>
        <w:rPr>
          <w:rFonts w:ascii="黑体" w:hAnsi="黑体" w:eastAsia="黑体"/>
          <w:sz w:val="32"/>
          <w:szCs w:val="32"/>
        </w:rPr>
      </w:pPr>
    </w:p>
    <w:p>
      <w:pPr>
        <w:spacing w:before="120" w:after="120" w:line="520" w:lineRule="exact"/>
        <w:ind w:left="640" w:hanging="640"/>
        <w:jc w:val="center"/>
        <w:rPr>
          <w:rFonts w:ascii="黑体" w:hAnsi="黑体" w:eastAsia="黑体"/>
          <w:sz w:val="32"/>
          <w:szCs w:val="32"/>
        </w:rPr>
      </w:pPr>
    </w:p>
    <w:p>
      <w:pPr>
        <w:spacing w:before="120" w:after="120" w:line="520" w:lineRule="exact"/>
        <w:ind w:left="640" w:hanging="640"/>
        <w:jc w:val="center"/>
        <w:rPr>
          <w:rFonts w:ascii="黑体" w:hAnsi="黑体" w:eastAsia="黑体"/>
          <w:sz w:val="32"/>
          <w:szCs w:val="32"/>
        </w:rPr>
      </w:pPr>
    </w:p>
    <w:p>
      <w:pPr>
        <w:spacing w:before="120" w:after="120" w:line="520" w:lineRule="exact"/>
        <w:rPr>
          <w:rFonts w:ascii="黑体" w:hAnsi="黑体" w:eastAsia="黑体"/>
          <w:sz w:val="32"/>
          <w:szCs w:val="32"/>
        </w:rPr>
      </w:pPr>
    </w:p>
    <w:p>
      <w:pPr>
        <w:spacing w:before="120" w:after="120" w:line="520" w:lineRule="exact"/>
        <w:jc w:val="center"/>
        <w:rPr>
          <w:rFonts w:ascii="黑体" w:hAnsi="黑体" w:eastAsia="黑体" w:cs="文星简黑体"/>
          <w:sz w:val="32"/>
          <w:szCs w:val="32"/>
        </w:rPr>
      </w:pPr>
      <w:r>
        <w:rPr>
          <w:rFonts w:hint="eastAsia" w:ascii="黑体" w:hAnsi="黑体" w:eastAsia="黑体" w:cs="文星简黑体"/>
          <w:sz w:val="32"/>
          <w:szCs w:val="32"/>
          <w:lang w:val="en-US" w:eastAsia="zh-CN"/>
        </w:rPr>
        <w:t>2021</w:t>
      </w:r>
      <w:r>
        <w:rPr>
          <w:rFonts w:hint="eastAsia" w:ascii="黑体" w:hAnsi="黑体" w:eastAsia="黑体" w:cs="文星简黑体"/>
          <w:sz w:val="32"/>
          <w:szCs w:val="32"/>
        </w:rPr>
        <w:t>年</w:t>
      </w:r>
      <w:r>
        <w:rPr>
          <w:rFonts w:hint="eastAsia" w:ascii="黑体" w:hAnsi="黑体" w:eastAsia="黑体" w:cs="文星简黑体"/>
          <w:sz w:val="32"/>
          <w:szCs w:val="32"/>
          <w:lang w:val="en-US" w:eastAsia="zh-CN"/>
        </w:rPr>
        <w:t>05</w:t>
      </w:r>
      <w:r>
        <w:rPr>
          <w:rFonts w:hint="eastAsia" w:ascii="黑体" w:hAnsi="黑体" w:eastAsia="黑体" w:cs="文星简黑体"/>
          <w:sz w:val="32"/>
          <w:szCs w:val="32"/>
        </w:rPr>
        <w:t>月</w:t>
      </w:r>
    </w:p>
    <w:p>
      <w:pPr>
        <w:spacing w:line="520" w:lineRule="exact"/>
        <w:jc w:val="both"/>
        <w:rPr>
          <w:rFonts w:hint="eastAsia" w:eastAsia="方正小标宋_GBK"/>
          <w:b/>
          <w:sz w:val="44"/>
          <w:szCs w:val="44"/>
          <w:lang w:val="en-US" w:eastAsia="zh-CN"/>
        </w:rPr>
      </w:pPr>
    </w:p>
    <w:p>
      <w:pPr>
        <w:spacing w:line="520" w:lineRule="exact"/>
        <w:ind w:left="880" w:hanging="880"/>
        <w:jc w:val="center"/>
        <w:rPr>
          <w:rFonts w:hint="eastAsia" w:eastAsia="方正小标宋_GBK"/>
          <w:b/>
          <w:sz w:val="44"/>
          <w:szCs w:val="44"/>
          <w:lang w:val="en-US" w:eastAsia="zh-CN"/>
        </w:rPr>
      </w:pPr>
    </w:p>
    <w:p>
      <w:pPr>
        <w:spacing w:line="520" w:lineRule="exact"/>
        <w:ind w:left="880" w:hanging="880"/>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b/>
          <w:sz w:val="44"/>
          <w:szCs w:val="44"/>
          <w:lang w:val="en-US" w:eastAsia="zh-CN"/>
        </w:rPr>
        <w:t>2020</w:t>
      </w:r>
      <w:r>
        <w:rPr>
          <w:rFonts w:hint="eastAsia" w:ascii="方正小标宋简体" w:hAnsi="方正小标宋简体" w:eastAsia="方正小标宋简体" w:cs="方正小标宋简体"/>
          <w:sz w:val="44"/>
          <w:szCs w:val="44"/>
        </w:rPr>
        <w:t>年度</w:t>
      </w:r>
      <w:r>
        <w:rPr>
          <w:rFonts w:hint="eastAsia" w:ascii="方正小标宋简体" w:hAnsi="方正小标宋简体" w:eastAsia="方正小标宋简体" w:cs="方正小标宋简体"/>
          <w:sz w:val="44"/>
          <w:szCs w:val="44"/>
          <w:lang w:eastAsia="zh-CN"/>
        </w:rPr>
        <w:t>促消费发展（</w:t>
      </w:r>
      <w:r>
        <w:rPr>
          <w:rFonts w:hint="eastAsia" w:ascii="方正小标宋简体" w:hAnsi="方正小标宋简体" w:eastAsia="方正小标宋简体" w:cs="方正小标宋简体"/>
          <w:sz w:val="44"/>
          <w:szCs w:val="44"/>
        </w:rPr>
        <w:t>星级农贸市场创建</w:t>
      </w:r>
      <w:r>
        <w:rPr>
          <w:rFonts w:hint="eastAsia" w:ascii="方正小标宋简体" w:hAnsi="方正小标宋简体" w:eastAsia="方正小标宋简体" w:cs="方正小标宋简体"/>
          <w:sz w:val="44"/>
          <w:szCs w:val="44"/>
          <w:lang w:eastAsia="zh-CN"/>
        </w:rPr>
        <w:t>）</w:t>
      </w:r>
    </w:p>
    <w:p>
      <w:pPr>
        <w:spacing w:line="520" w:lineRule="exact"/>
        <w:ind w:left="880" w:hanging="880"/>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专项资金</w:t>
      </w:r>
      <w:r>
        <w:rPr>
          <w:rFonts w:hint="eastAsia" w:ascii="方正小标宋简体" w:hAnsi="方正小标宋简体" w:eastAsia="方正小标宋简体" w:cs="方正小标宋简体"/>
          <w:sz w:val="44"/>
          <w:szCs w:val="44"/>
        </w:rPr>
        <w:t>绩效评价报告</w:t>
      </w:r>
    </w:p>
    <w:p>
      <w:pPr>
        <w:widowControl/>
        <w:wordWrap/>
        <w:adjustRightInd/>
        <w:snapToGrid/>
        <w:spacing w:line="560" w:lineRule="exact"/>
        <w:ind w:right="0"/>
        <w:jc w:val="left"/>
        <w:textAlignment w:val="auto"/>
        <w:outlineLvl w:val="0"/>
        <w:rPr>
          <w:rFonts w:hint="eastAsia" w:ascii="黑体" w:hAnsi="黑体" w:eastAsia="黑体" w:cs="黑体"/>
          <w:sz w:val="32"/>
          <w:szCs w:val="32"/>
        </w:rPr>
      </w:pPr>
      <w:bookmarkStart w:id="0" w:name="_Toc53743629"/>
    </w:p>
    <w:p>
      <w:pPr>
        <w:widowControl/>
        <w:wordWrap/>
        <w:adjustRightInd/>
        <w:snapToGrid/>
        <w:spacing w:line="560" w:lineRule="exact"/>
        <w:ind w:right="0" w:firstLine="640" w:firstLineChars="200"/>
        <w:jc w:val="left"/>
        <w:textAlignment w:val="auto"/>
        <w:outlineLvl w:val="0"/>
        <w:rPr>
          <w:rFonts w:hint="eastAsia" w:ascii="黑体" w:hAnsi="黑体" w:eastAsia="黑体" w:cs="黑体"/>
          <w:sz w:val="32"/>
          <w:szCs w:val="32"/>
        </w:rPr>
      </w:pPr>
      <w:r>
        <w:rPr>
          <w:rFonts w:hint="eastAsia" w:ascii="黑体" w:hAnsi="黑体" w:eastAsia="黑体" w:cs="黑体"/>
          <w:sz w:val="32"/>
          <w:szCs w:val="32"/>
        </w:rPr>
        <w:t>一、基本情况</w:t>
      </w:r>
      <w:bookmarkEnd w:id="0"/>
    </w:p>
    <w:p>
      <w:pPr>
        <w:wordWrap/>
        <w:spacing w:line="560" w:lineRule="exact"/>
        <w:ind w:left="0" w:leftChars="0" w:right="0" w:firstLine="640" w:firstLineChars="200"/>
        <w:textAlignment w:val="auto"/>
        <w:outlineLvl w:val="1"/>
        <w:rPr>
          <w:rFonts w:hint="eastAsia" w:ascii="楷体_GB2312" w:hAnsi="楷体_GB2312" w:eastAsia="楷体_GB2312" w:cs="楷体_GB2312"/>
          <w:sz w:val="32"/>
          <w:szCs w:val="32"/>
        </w:rPr>
      </w:pPr>
      <w:bookmarkStart w:id="1" w:name="_Toc53743630"/>
      <w:r>
        <w:rPr>
          <w:rFonts w:hint="eastAsia" w:ascii="楷体_GB2312" w:hAnsi="楷体_GB2312" w:eastAsia="楷体_GB2312" w:cs="楷体_GB2312"/>
          <w:sz w:val="32"/>
          <w:szCs w:val="32"/>
        </w:rPr>
        <w:t>（一）</w:t>
      </w:r>
      <w:r>
        <w:rPr>
          <w:rFonts w:hint="eastAsia" w:ascii="楷体_GB2312" w:hAnsi="楷体_GB2312" w:eastAsia="楷体_GB2312" w:cs="楷体_GB2312"/>
          <w:sz w:val="32"/>
          <w:szCs w:val="32"/>
          <w:lang w:eastAsia="zh-CN"/>
        </w:rPr>
        <w:t>项目</w:t>
      </w:r>
      <w:r>
        <w:rPr>
          <w:rFonts w:hint="eastAsia" w:ascii="楷体_GB2312" w:hAnsi="楷体_GB2312" w:eastAsia="楷体_GB2312" w:cs="楷体_GB2312"/>
          <w:sz w:val="32"/>
          <w:szCs w:val="32"/>
        </w:rPr>
        <w:t>概况</w:t>
      </w:r>
      <w:bookmarkEnd w:id="1"/>
    </w:p>
    <w:p>
      <w:pPr>
        <w:wordWrap/>
        <w:spacing w:line="560" w:lineRule="exact"/>
        <w:ind w:left="0" w:leftChars="0" w:right="0" w:firstLine="640" w:firstLineChars="200"/>
        <w:textAlignment w:val="auto"/>
        <w:rPr>
          <w:rFonts w:ascii="仿宋_GB2312" w:eastAsia="仿宋_GB2312"/>
          <w:sz w:val="32"/>
          <w:szCs w:val="32"/>
        </w:rPr>
      </w:pPr>
      <w:r>
        <w:rPr>
          <w:rFonts w:hint="eastAsia" w:ascii="仿宋_GB2312" w:eastAsia="仿宋_GB2312"/>
          <w:sz w:val="32"/>
          <w:szCs w:val="32"/>
        </w:rPr>
        <w:t>农贸市场作为民生工程的重要组成部分，在农贸产品的流通环节起到了承上启下的作用。为提升市民农贸市场消费体验，规范农贸市场经营，2017年市工商行政管理局（以下简称“市工商局”）依据《2017年重点办好城乡建设和改善人民生活方面10件实事的通知》(青政发〔2017〕1号)</w:t>
      </w:r>
      <w:r>
        <w:rPr>
          <w:rFonts w:hint="eastAsia" w:ascii="仿宋_GB2312" w:eastAsia="仿宋_GB2312"/>
          <w:sz w:val="32"/>
          <w:szCs w:val="32"/>
          <w:lang w:eastAsia="zh-CN"/>
        </w:rPr>
        <w:t>，设立了</w:t>
      </w:r>
      <w:r>
        <w:rPr>
          <w:rFonts w:hint="eastAsia" w:ascii="仿宋_GB2312" w:eastAsia="仿宋_GB2312"/>
          <w:sz w:val="32"/>
          <w:szCs w:val="32"/>
        </w:rPr>
        <w:t>星级农贸市场创建项目。对符合条件自愿申报的农贸市场依据《星级农贸市场创建标准》（以下简称“创建办法”）进行综合评定，最终根据综合打分结果评定出一定数量的三星、四星、五星农贸市场进行奖补。</w:t>
      </w:r>
    </w:p>
    <w:p>
      <w:pPr>
        <w:wordWrap/>
        <w:spacing w:line="560" w:lineRule="exact"/>
        <w:ind w:left="0" w:leftChars="0" w:right="0" w:firstLine="640" w:firstLineChars="200"/>
        <w:textAlignment w:val="auto"/>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019</w:t>
      </w:r>
      <w:r>
        <w:rPr>
          <w:rFonts w:hint="eastAsia" w:ascii="仿宋_GB2312" w:eastAsia="仿宋_GB2312"/>
          <w:sz w:val="32"/>
          <w:szCs w:val="32"/>
        </w:rPr>
        <w:t>年</w:t>
      </w:r>
      <w:r>
        <w:rPr>
          <w:rFonts w:ascii="仿宋_GB2312" w:eastAsia="仿宋_GB2312"/>
          <w:sz w:val="32"/>
          <w:szCs w:val="32"/>
        </w:rPr>
        <w:t>1</w:t>
      </w:r>
      <w:r>
        <w:rPr>
          <w:rFonts w:hint="eastAsia" w:ascii="仿宋_GB2312" w:eastAsia="仿宋_GB2312"/>
          <w:sz w:val="32"/>
          <w:szCs w:val="32"/>
        </w:rPr>
        <w:t>月，根据《关于青岛市市级机构改革的实施意见》，市市场监督管理局（以下简称“市市场监管局”）成立，星级农贸市场创建由市市场监管局负责。</w:t>
      </w:r>
      <w:r>
        <w:rPr>
          <w:rFonts w:hint="eastAsia" w:ascii="仿宋_GB2312" w:eastAsia="仿宋_GB2312"/>
          <w:sz w:val="32"/>
          <w:szCs w:val="32"/>
          <w:lang w:eastAsia="zh-CN"/>
        </w:rPr>
        <w:t>同年</w:t>
      </w:r>
      <w:r>
        <w:rPr>
          <w:rFonts w:ascii="仿宋_GB2312" w:eastAsia="仿宋_GB2312"/>
          <w:sz w:val="32"/>
          <w:szCs w:val="32"/>
        </w:rPr>
        <w:t>2</w:t>
      </w:r>
      <w:r>
        <w:rPr>
          <w:rFonts w:hint="eastAsia" w:ascii="仿宋_GB2312" w:eastAsia="仿宋_GB2312"/>
          <w:sz w:val="32"/>
          <w:szCs w:val="32"/>
        </w:rPr>
        <w:t>月，市政府印发《关于组织实施青岛市市区农贸市场专项规划纲要(2018-2035年)的通知》（青政办字〔2019〕6号）（以下简称“规划纲要”）。《规划纲要》提出青岛市农贸市场的主要发展目标及布局规划，为星级农贸市场评定提供了政策方向。</w:t>
      </w:r>
    </w:p>
    <w:p>
      <w:pPr>
        <w:wordWrap/>
        <w:spacing w:line="560" w:lineRule="exact"/>
        <w:ind w:left="0" w:leftChars="0" w:right="0" w:firstLine="640" w:firstLineChars="200"/>
        <w:textAlignment w:val="auto"/>
        <w:outlineLvl w:val="2"/>
        <w:rPr>
          <w:rFonts w:hint="eastAsia" w:ascii="仿宋_GB2312" w:eastAsia="仿宋_GB2312"/>
          <w:sz w:val="32"/>
          <w:szCs w:val="32"/>
          <w:lang w:val="en-US" w:eastAsia="zh-CN"/>
        </w:rPr>
      </w:pPr>
      <w:bookmarkStart w:id="2" w:name="_Toc51863824"/>
      <w:bookmarkStart w:id="3" w:name="_Toc53743632"/>
      <w:r>
        <w:rPr>
          <w:rFonts w:hint="eastAsia" w:ascii="仿宋_GB2312" w:eastAsia="仿宋_GB2312"/>
          <w:sz w:val="32"/>
          <w:szCs w:val="32"/>
          <w:lang w:val="en-US" w:eastAsia="zh-CN"/>
        </w:rPr>
        <w:t>2019年，星级农贸市场创建工作继续纳入市政府</w:t>
      </w:r>
      <w:r>
        <w:rPr>
          <w:rFonts w:hint="eastAsia" w:ascii="仿宋_GB2312" w:eastAsia="仿宋_GB2312"/>
          <w:sz w:val="32"/>
          <w:szCs w:val="32"/>
        </w:rPr>
        <w:t>2019年重点办好城乡建设和改善人民生活方面10件实事</w:t>
      </w:r>
      <w:r>
        <w:rPr>
          <w:rFonts w:hint="eastAsia" w:ascii="仿宋_GB2312" w:eastAsia="仿宋_GB2312"/>
          <w:sz w:val="32"/>
          <w:szCs w:val="32"/>
          <w:lang w:eastAsia="zh-CN"/>
        </w:rPr>
        <w:t>，本项资金是对获评</w:t>
      </w:r>
      <w:r>
        <w:rPr>
          <w:rFonts w:hint="eastAsia" w:ascii="仿宋_GB2312" w:eastAsia="仿宋_GB2312"/>
          <w:sz w:val="32"/>
          <w:szCs w:val="32"/>
          <w:lang w:val="en-US" w:eastAsia="zh-CN"/>
        </w:rPr>
        <w:t>2019年度星级农贸市场进行奖补。</w:t>
      </w:r>
    </w:p>
    <w:p>
      <w:pPr>
        <w:wordWrap/>
        <w:spacing w:line="560" w:lineRule="exact"/>
        <w:ind w:left="0" w:leftChars="0" w:right="0" w:firstLine="640" w:firstLineChars="200"/>
        <w:textAlignment w:val="auto"/>
        <w:outlineLvl w:val="2"/>
        <w:rPr>
          <w:rFonts w:hint="eastAsia" w:ascii="仿宋_GB2312" w:eastAsia="仿宋_GB2312"/>
          <w:sz w:val="32"/>
          <w:szCs w:val="32"/>
          <w:lang w:eastAsia="zh-CN"/>
        </w:rPr>
      </w:pPr>
      <w:r>
        <w:rPr>
          <w:rFonts w:hint="eastAsia" w:ascii="仿宋_GB2312" w:eastAsia="仿宋_GB2312"/>
          <w:sz w:val="32"/>
          <w:szCs w:val="32"/>
          <w:lang w:val="en-US" w:eastAsia="zh-CN"/>
        </w:rPr>
        <w:t>2020年，安排星级农贸市场综合奖补专项资金2240万元，</w:t>
      </w:r>
      <w:r>
        <w:rPr>
          <w:rFonts w:hint="eastAsia" w:ascii="仿宋_GB2312" w:eastAsia="仿宋_GB2312"/>
          <w:sz w:val="32"/>
          <w:szCs w:val="32"/>
          <w:lang w:eastAsia="zh-CN"/>
        </w:rPr>
        <w:t>其中：市级财政安排</w:t>
      </w:r>
      <w:r>
        <w:rPr>
          <w:rFonts w:hint="eastAsia" w:ascii="仿宋_GB2312" w:eastAsia="仿宋_GB2312"/>
          <w:sz w:val="32"/>
          <w:szCs w:val="32"/>
          <w:lang w:val="en-US" w:eastAsia="zh-CN"/>
        </w:rPr>
        <w:t>奖补资金1120万元、区级财政配套安排奖补资金1120万元。2020年</w:t>
      </w:r>
      <w:r>
        <w:rPr>
          <w:rFonts w:hint="eastAsia" w:ascii="仿宋_GB2312" w:eastAsia="仿宋_GB2312"/>
          <w:sz w:val="32"/>
          <w:szCs w:val="32"/>
          <w:lang w:eastAsia="zh-CN"/>
        </w:rPr>
        <w:t>市级财政安排</w:t>
      </w:r>
      <w:r>
        <w:rPr>
          <w:rFonts w:hint="eastAsia" w:ascii="仿宋_GB2312" w:eastAsia="仿宋_GB2312"/>
          <w:sz w:val="32"/>
          <w:szCs w:val="32"/>
          <w:lang w:val="en-US" w:eastAsia="zh-CN"/>
        </w:rPr>
        <w:t>奖补资金1120万元全部完成发放，预算</w:t>
      </w:r>
      <w:r>
        <w:rPr>
          <w:rFonts w:hint="eastAsia" w:ascii="仿宋_GB2312" w:eastAsia="仿宋_GB2312"/>
          <w:sz w:val="32"/>
          <w:szCs w:val="32"/>
          <w:lang w:eastAsia="zh-CN"/>
        </w:rPr>
        <w:t>执行率为</w:t>
      </w:r>
      <w:r>
        <w:rPr>
          <w:rFonts w:hint="eastAsia" w:ascii="仿宋_GB2312" w:eastAsia="仿宋_GB2312"/>
          <w:sz w:val="32"/>
          <w:szCs w:val="32"/>
          <w:lang w:val="en-US" w:eastAsia="zh-CN"/>
        </w:rPr>
        <w:t>100</w:t>
      </w:r>
      <w:r>
        <w:rPr>
          <w:rFonts w:hint="eastAsia" w:ascii="仿宋_GB2312" w:eastAsia="仿宋_GB2312"/>
          <w:sz w:val="32"/>
          <w:szCs w:val="32"/>
          <w:lang w:eastAsia="zh-CN"/>
        </w:rPr>
        <w:t>%；</w:t>
      </w:r>
      <w:r>
        <w:rPr>
          <w:rFonts w:hint="eastAsia" w:ascii="仿宋_GB2312" w:eastAsia="仿宋_GB2312"/>
          <w:sz w:val="32"/>
          <w:szCs w:val="32"/>
          <w:lang w:val="en-US" w:eastAsia="zh-CN"/>
        </w:rPr>
        <w:t>区级财政配套安排奖补资金中市北区250万元、即墨区20万元，截止2020年12月底未完成发放，预算</w:t>
      </w:r>
      <w:r>
        <w:rPr>
          <w:rFonts w:hint="eastAsia" w:ascii="仿宋_GB2312" w:eastAsia="仿宋_GB2312"/>
          <w:sz w:val="32"/>
          <w:szCs w:val="32"/>
          <w:lang w:eastAsia="zh-CN"/>
        </w:rPr>
        <w:t>执行率为</w:t>
      </w:r>
      <w:r>
        <w:rPr>
          <w:rFonts w:hint="eastAsia" w:ascii="仿宋_GB2312" w:eastAsia="仿宋_GB2312"/>
          <w:sz w:val="32"/>
          <w:szCs w:val="32"/>
          <w:lang w:val="en-US" w:eastAsia="zh-CN"/>
        </w:rPr>
        <w:t>75.89</w:t>
      </w:r>
      <w:r>
        <w:rPr>
          <w:rFonts w:hint="eastAsia" w:ascii="仿宋_GB2312" w:eastAsia="仿宋_GB2312"/>
          <w:sz w:val="32"/>
          <w:szCs w:val="32"/>
          <w:lang w:eastAsia="zh-CN"/>
        </w:rPr>
        <w:t>%。</w:t>
      </w:r>
      <w:r>
        <w:rPr>
          <w:rFonts w:hint="eastAsia" w:ascii="仿宋_GB2312" w:eastAsia="仿宋_GB2312"/>
          <w:sz w:val="32"/>
          <w:szCs w:val="32"/>
          <w:lang w:val="en-US" w:eastAsia="zh-CN"/>
        </w:rPr>
        <w:t>2020年实际完成综合奖补资金发放1970万元，预算</w:t>
      </w:r>
      <w:r>
        <w:rPr>
          <w:rFonts w:hint="eastAsia" w:ascii="仿宋_GB2312" w:eastAsia="仿宋_GB2312"/>
          <w:sz w:val="32"/>
          <w:szCs w:val="32"/>
          <w:lang w:eastAsia="zh-CN"/>
        </w:rPr>
        <w:t>执行率为</w:t>
      </w:r>
      <w:r>
        <w:rPr>
          <w:rFonts w:hint="eastAsia" w:ascii="仿宋_GB2312" w:eastAsia="仿宋_GB2312"/>
          <w:sz w:val="32"/>
          <w:szCs w:val="32"/>
          <w:lang w:val="en-US" w:eastAsia="zh-CN"/>
        </w:rPr>
        <w:t>87.95</w:t>
      </w:r>
      <w:r>
        <w:rPr>
          <w:rFonts w:hint="eastAsia" w:ascii="仿宋_GB2312" w:eastAsia="仿宋_GB2312"/>
          <w:sz w:val="32"/>
          <w:szCs w:val="32"/>
          <w:lang w:eastAsia="zh-CN"/>
        </w:rPr>
        <w:t>%。</w:t>
      </w:r>
    </w:p>
    <w:p>
      <w:pPr>
        <w:numPr>
          <w:ilvl w:val="0"/>
          <w:numId w:val="1"/>
        </w:numPr>
        <w:wordWrap/>
        <w:spacing w:line="560" w:lineRule="exact"/>
        <w:ind w:left="0" w:leftChars="0" w:right="0" w:firstLine="640" w:firstLineChars="200"/>
        <w:textAlignment w:val="auto"/>
        <w:outlineLvl w:val="2"/>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项目绩效目标</w:t>
      </w:r>
    </w:p>
    <w:p>
      <w:pPr>
        <w:numPr>
          <w:ilvl w:val="0"/>
          <w:numId w:val="0"/>
        </w:numPr>
        <w:wordWrap/>
        <w:spacing w:line="560" w:lineRule="exact"/>
        <w:ind w:right="0" w:firstLine="640" w:firstLineChars="200"/>
        <w:textAlignment w:val="auto"/>
        <w:outlineLvl w:val="2"/>
        <w:rPr>
          <w:rFonts w:hint="default" w:ascii="仿宋_GB2312" w:eastAsia="仿宋_GB2312"/>
          <w:sz w:val="32"/>
          <w:szCs w:val="32"/>
          <w:lang w:val="en-US" w:eastAsia="zh-CN"/>
        </w:rPr>
      </w:pPr>
      <w:r>
        <w:rPr>
          <w:rFonts w:hint="eastAsia" w:ascii="仿宋_GB2312" w:eastAsia="仿宋_GB2312"/>
          <w:sz w:val="32"/>
          <w:szCs w:val="32"/>
          <w:lang w:val="en-US" w:eastAsia="zh-CN"/>
        </w:rPr>
        <w:t>本项目年度绩效目标是：</w:t>
      </w:r>
      <w:r>
        <w:rPr>
          <w:rFonts w:hint="default" w:ascii="仿宋_GB2312" w:eastAsia="仿宋_GB2312"/>
          <w:sz w:val="32"/>
          <w:szCs w:val="32"/>
          <w:lang w:val="en-US" w:eastAsia="zh-CN"/>
        </w:rPr>
        <w:t>继续开展星级农贸市场创建，进一步促进农贸市场整体面貌改观、硬件设施提升、市场环境卫生改善、交易秩序规范，同时，督促市场开办单位不断提升管理服务水平，市场诚信经营意识显著提高，市场食品安全措施得到有效落实，市民购物消费满意度不断提高。</w:t>
      </w:r>
    </w:p>
    <w:p>
      <w:pPr>
        <w:numPr>
          <w:ilvl w:val="0"/>
          <w:numId w:val="0"/>
        </w:numPr>
        <w:wordWrap/>
        <w:spacing w:line="560" w:lineRule="exact"/>
        <w:ind w:right="0" w:firstLine="640" w:firstLineChars="200"/>
        <w:textAlignment w:val="auto"/>
        <w:outlineLvl w:val="2"/>
        <w:rPr>
          <w:rFonts w:hint="eastAsia" w:ascii="仿宋_GB2312" w:eastAsia="仿宋_GB2312"/>
          <w:sz w:val="32"/>
          <w:szCs w:val="32"/>
          <w:lang w:val="en-US" w:eastAsia="zh-CN"/>
        </w:rPr>
      </w:pPr>
      <w:r>
        <w:rPr>
          <w:rFonts w:hint="eastAsia" w:ascii="仿宋_GB2312" w:eastAsia="仿宋_GB2312"/>
          <w:sz w:val="32"/>
          <w:szCs w:val="32"/>
          <w:lang w:val="en-US" w:eastAsia="zh-CN"/>
        </w:rPr>
        <w:t>年度目标已全部完成。</w:t>
      </w:r>
    </w:p>
    <w:p>
      <w:pPr>
        <w:numPr>
          <w:ilvl w:val="0"/>
          <w:numId w:val="0"/>
        </w:numPr>
        <w:wordWrap/>
        <w:spacing w:line="560" w:lineRule="exact"/>
        <w:ind w:right="0" w:firstLine="640" w:firstLineChars="200"/>
        <w:textAlignment w:val="auto"/>
        <w:outlineLvl w:val="2"/>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二、绩效评价工作开展情况</w:t>
      </w:r>
    </w:p>
    <w:p>
      <w:pPr>
        <w:pStyle w:val="23"/>
        <w:ind w:firstLine="480"/>
        <w:rPr>
          <w:rStyle w:val="35"/>
          <w:color w:val="000000"/>
        </w:rPr>
      </w:pPr>
      <w:bookmarkStart w:id="4" w:name="_Toc52359428"/>
      <w:r>
        <w:rPr>
          <w:rStyle w:val="35"/>
          <w:rFonts w:hint="eastAsia"/>
          <w:color w:val="000000"/>
        </w:rPr>
        <w:t>（一）</w:t>
      </w:r>
      <w:r>
        <w:rPr>
          <w:rStyle w:val="35"/>
          <w:rFonts w:hint="eastAsia"/>
          <w:color w:val="000000"/>
          <w:lang w:eastAsia="zh-CN"/>
        </w:rPr>
        <w:t>绩效</w:t>
      </w:r>
      <w:r>
        <w:rPr>
          <w:rStyle w:val="35"/>
          <w:rFonts w:hint="eastAsia"/>
          <w:color w:val="000000"/>
        </w:rPr>
        <w:t>评价</w:t>
      </w:r>
      <w:r>
        <w:rPr>
          <w:rStyle w:val="35"/>
          <w:rFonts w:hint="eastAsia"/>
          <w:color w:val="000000"/>
          <w:lang w:eastAsia="zh-CN"/>
        </w:rPr>
        <w:t>的目的、对象和范围</w:t>
      </w:r>
      <w:bookmarkEnd w:id="4"/>
    </w:p>
    <w:p>
      <w:pPr>
        <w:pStyle w:val="25"/>
        <w:ind w:firstLine="480"/>
        <w:rPr>
          <w:rFonts w:hint="eastAsia" w:ascii="仿宋_GB2312" w:hAnsi="仿宋" w:eastAsia="仿宋_GB2312" w:cs="Times New Roman"/>
          <w:sz w:val="32"/>
          <w:szCs w:val="32"/>
        </w:rPr>
      </w:pPr>
      <w:bookmarkStart w:id="5" w:name="_Toc52359429"/>
      <w:r>
        <w:rPr>
          <w:rStyle w:val="35"/>
          <w:rFonts w:hint="eastAsia" w:ascii="仿宋_GB2312" w:hAnsi="仿宋_GB2312" w:eastAsia="仿宋_GB2312" w:cs="仿宋_GB2312"/>
          <w:b/>
          <w:bCs/>
          <w:color w:val="000000"/>
          <w:sz w:val="32"/>
          <w:szCs w:val="32"/>
          <w:lang w:val="en-US" w:eastAsia="zh-CN"/>
        </w:rPr>
        <w:t>1.</w:t>
      </w:r>
      <w:r>
        <w:rPr>
          <w:rStyle w:val="35"/>
          <w:rFonts w:hint="eastAsia" w:ascii="仿宋_GB2312" w:hAnsi="仿宋_GB2312" w:eastAsia="仿宋_GB2312" w:cs="仿宋_GB2312"/>
          <w:b/>
          <w:bCs/>
          <w:color w:val="000000"/>
          <w:sz w:val="32"/>
          <w:szCs w:val="32"/>
        </w:rPr>
        <w:t>评价目的</w:t>
      </w:r>
      <w:bookmarkEnd w:id="5"/>
      <w:r>
        <w:rPr>
          <w:rStyle w:val="35"/>
          <w:rFonts w:hint="eastAsia" w:ascii="仿宋_GB2312" w:hAnsi="仿宋_GB2312" w:eastAsia="仿宋_GB2312" w:cs="仿宋_GB2312"/>
          <w:b/>
          <w:bCs/>
          <w:color w:val="000000"/>
          <w:sz w:val="32"/>
          <w:szCs w:val="32"/>
          <w:lang w:eastAsia="zh-CN"/>
        </w:rPr>
        <w:t>。</w:t>
      </w:r>
      <w:r>
        <w:rPr>
          <w:rFonts w:hint="eastAsia" w:ascii="仿宋_GB2312" w:hAnsi="仿宋" w:eastAsia="仿宋_GB2312" w:cs="Times New Roman"/>
          <w:sz w:val="32"/>
          <w:szCs w:val="32"/>
        </w:rPr>
        <w:t>围绕</w:t>
      </w:r>
      <w:r>
        <w:rPr>
          <w:rFonts w:hint="eastAsia" w:ascii="仿宋_GB2312" w:hAnsi="仿宋" w:eastAsia="仿宋_GB2312" w:cs="Times New Roman"/>
          <w:sz w:val="32"/>
          <w:szCs w:val="32"/>
          <w:lang w:eastAsia="zh-CN"/>
        </w:rPr>
        <w:t>年初确定的工作目标</w:t>
      </w:r>
      <w:r>
        <w:rPr>
          <w:rFonts w:hint="eastAsia" w:ascii="仿宋_GB2312" w:hAnsi="仿宋" w:eastAsia="仿宋_GB2312" w:cs="Times New Roman"/>
          <w:sz w:val="32"/>
          <w:szCs w:val="32"/>
        </w:rPr>
        <w:t>，以预算资金为主线，从预算管理、职责履行、履职效能等方面，对预算资金的投入、使用过程、产出与效果进行系统和客观的评价，评价结果作为改进管理和编制以后年度预算依据。</w:t>
      </w:r>
    </w:p>
    <w:p>
      <w:pPr>
        <w:pStyle w:val="25"/>
        <w:ind w:firstLine="480"/>
        <w:rPr>
          <w:rFonts w:hint="eastAsia" w:ascii="仿宋_GB2312" w:hAnsi="仿宋" w:eastAsia="仿宋_GB2312" w:cs="Times New Roman"/>
          <w:sz w:val="32"/>
          <w:szCs w:val="32"/>
          <w:lang w:eastAsia="zh-CN"/>
        </w:rPr>
      </w:pPr>
      <w:r>
        <w:rPr>
          <w:rFonts w:hint="eastAsia" w:ascii="仿宋_GB2312" w:hAnsi="仿宋" w:eastAsia="仿宋_GB2312" w:cs="Times New Roman"/>
          <w:b/>
          <w:bCs/>
          <w:sz w:val="32"/>
          <w:szCs w:val="32"/>
          <w:lang w:val="en-US" w:eastAsia="zh-CN"/>
        </w:rPr>
        <w:t>2.评价对象和范围</w:t>
      </w:r>
      <w:r>
        <w:rPr>
          <w:rFonts w:hint="eastAsia" w:ascii="仿宋_GB2312" w:hAnsi="仿宋" w:eastAsia="仿宋_GB2312" w:cs="Times New Roman"/>
          <w:sz w:val="32"/>
          <w:szCs w:val="32"/>
          <w:lang w:val="en-US" w:eastAsia="zh-CN"/>
        </w:rPr>
        <w:t>。</w:t>
      </w:r>
      <w:r>
        <w:rPr>
          <w:rFonts w:hint="eastAsia" w:ascii="仿宋_GB2312" w:hAnsi="仿宋" w:eastAsia="仿宋_GB2312" w:cs="Times New Roman"/>
          <w:sz w:val="32"/>
          <w:szCs w:val="32"/>
          <w:lang w:eastAsia="zh-CN"/>
        </w:rPr>
        <w:t>星级农贸市场创建</w:t>
      </w:r>
      <w:r>
        <w:rPr>
          <w:rFonts w:hint="eastAsia" w:ascii="仿宋_GB2312" w:hAnsi="仿宋" w:eastAsia="仿宋_GB2312" w:cs="Times New Roman"/>
          <w:sz w:val="32"/>
          <w:szCs w:val="32"/>
        </w:rPr>
        <w:t>项目2020年度</w:t>
      </w:r>
      <w:r>
        <w:rPr>
          <w:rFonts w:hint="eastAsia" w:ascii="仿宋_GB2312" w:hAnsi="仿宋" w:eastAsia="仿宋_GB2312" w:cs="Times New Roman"/>
          <w:sz w:val="32"/>
          <w:szCs w:val="32"/>
          <w:lang w:eastAsia="zh-CN"/>
        </w:rPr>
        <w:t>预算</w:t>
      </w:r>
      <w:r>
        <w:rPr>
          <w:rFonts w:hint="eastAsia" w:ascii="仿宋_GB2312" w:hAnsi="仿宋" w:eastAsia="仿宋_GB2312" w:cs="Times New Roman"/>
          <w:sz w:val="32"/>
          <w:szCs w:val="32"/>
        </w:rPr>
        <w:t>执行情况及实施效果</w:t>
      </w:r>
      <w:r>
        <w:rPr>
          <w:rFonts w:hint="eastAsia" w:ascii="仿宋_GB2312" w:hAnsi="仿宋" w:eastAsia="仿宋_GB2312" w:cs="Times New Roman"/>
          <w:sz w:val="32"/>
          <w:szCs w:val="32"/>
          <w:lang w:eastAsia="zh-CN"/>
        </w:rPr>
        <w:t>。</w:t>
      </w:r>
    </w:p>
    <w:p>
      <w:pPr>
        <w:spacing w:line="600" w:lineRule="exact"/>
        <w:ind w:firstLine="640" w:firstLineChars="200"/>
        <w:rPr>
          <w:rStyle w:val="35"/>
          <w:rFonts w:hint="eastAsia" w:ascii="楷体_GB2312" w:hAnsi="楷体_GB2312" w:eastAsia="楷体_GB2312" w:cs="楷体_GB2312"/>
          <w:bCs/>
          <w:color w:val="000000"/>
          <w:sz w:val="32"/>
          <w:szCs w:val="32"/>
          <w:lang w:eastAsia="zh-CN"/>
        </w:rPr>
      </w:pPr>
      <w:r>
        <w:rPr>
          <w:rStyle w:val="35"/>
          <w:rFonts w:hint="eastAsia" w:ascii="楷体_GB2312" w:hAnsi="楷体_GB2312" w:eastAsia="楷体_GB2312" w:cs="楷体_GB2312"/>
          <w:bCs/>
          <w:color w:val="000000"/>
          <w:sz w:val="32"/>
          <w:szCs w:val="32"/>
          <w:lang w:eastAsia="zh-CN"/>
        </w:rPr>
        <w:t>（二）绩效评价原则</w:t>
      </w:r>
    </w:p>
    <w:p>
      <w:pPr>
        <w:spacing w:line="600" w:lineRule="exact"/>
        <w:ind w:firstLine="643" w:firstLineChars="200"/>
        <w:rPr>
          <w:rFonts w:hint="eastAsia" w:ascii="仿宋_GB2312" w:hAnsi="仿宋" w:eastAsia="仿宋_GB2312" w:cs="Times New Roman"/>
          <w:kern w:val="0"/>
          <w:sz w:val="32"/>
          <w:szCs w:val="32"/>
          <w:lang w:val="en-US" w:eastAsia="zh-CN" w:bidi="ar-SA"/>
        </w:rPr>
      </w:pPr>
      <w:r>
        <w:rPr>
          <w:rFonts w:hint="eastAsia" w:ascii="仿宋_GB2312" w:hAnsi="仿宋" w:eastAsia="仿宋_GB2312" w:cs="Times New Roman"/>
          <w:b/>
          <w:bCs/>
          <w:kern w:val="0"/>
          <w:sz w:val="32"/>
          <w:szCs w:val="32"/>
          <w:lang w:val="en-US" w:eastAsia="zh-CN" w:bidi="ar-SA"/>
        </w:rPr>
        <w:t>1.客观公正。</w:t>
      </w:r>
      <w:r>
        <w:rPr>
          <w:rFonts w:hint="eastAsia" w:ascii="仿宋_GB2312" w:hAnsi="仿宋" w:eastAsia="仿宋_GB2312" w:cs="Times New Roman"/>
          <w:kern w:val="0"/>
          <w:sz w:val="32"/>
          <w:szCs w:val="32"/>
          <w:lang w:val="en-US" w:eastAsia="zh-CN" w:bidi="ar-SA"/>
        </w:rPr>
        <w:t>评价内容客观、公正，标准统一、资料可靠，评价过程与结果依法公开并接受监督。</w:t>
      </w:r>
    </w:p>
    <w:p>
      <w:pPr>
        <w:spacing w:line="600" w:lineRule="exact"/>
        <w:ind w:firstLine="643" w:firstLineChars="200"/>
        <w:rPr>
          <w:rFonts w:hint="eastAsia" w:ascii="仿宋_GB2312" w:hAnsi="仿宋" w:eastAsia="仿宋_GB2312" w:cs="Times New Roman"/>
          <w:kern w:val="0"/>
          <w:sz w:val="32"/>
          <w:szCs w:val="32"/>
          <w:lang w:val="en-US" w:eastAsia="zh-CN" w:bidi="ar-SA"/>
        </w:rPr>
      </w:pPr>
      <w:r>
        <w:rPr>
          <w:rFonts w:hint="eastAsia" w:ascii="仿宋_GB2312" w:hAnsi="仿宋" w:eastAsia="仿宋_GB2312" w:cs="Times New Roman"/>
          <w:b/>
          <w:bCs/>
          <w:kern w:val="0"/>
          <w:sz w:val="32"/>
          <w:szCs w:val="32"/>
          <w:lang w:val="en-US" w:eastAsia="zh-CN" w:bidi="ar-SA"/>
        </w:rPr>
        <w:t>2.科学规范。</w:t>
      </w:r>
      <w:r>
        <w:rPr>
          <w:rFonts w:hint="eastAsia" w:ascii="仿宋_GB2312" w:hAnsi="仿宋" w:eastAsia="仿宋_GB2312" w:cs="Times New Roman"/>
          <w:kern w:val="0"/>
          <w:sz w:val="32"/>
          <w:szCs w:val="32"/>
          <w:lang w:val="en-US" w:eastAsia="zh-CN" w:bidi="ar-SA"/>
        </w:rPr>
        <w:t>严格执行规定的评价程序，采用定量为主定性为辅的综合分析方法，科学合理地对专项资金项目的必要性、合规性和效益进行评价。</w:t>
      </w:r>
    </w:p>
    <w:p>
      <w:pPr>
        <w:spacing w:line="600" w:lineRule="exact"/>
        <w:ind w:firstLine="643" w:firstLineChars="200"/>
        <w:rPr>
          <w:rFonts w:hint="eastAsia" w:ascii="仿宋_GB2312" w:hAnsi="仿宋" w:eastAsia="仿宋_GB2312" w:cs="Times New Roman"/>
          <w:kern w:val="0"/>
          <w:sz w:val="32"/>
          <w:szCs w:val="32"/>
          <w:lang w:val="en-US" w:eastAsia="zh-CN" w:bidi="ar-SA"/>
        </w:rPr>
      </w:pPr>
      <w:r>
        <w:rPr>
          <w:rFonts w:hint="eastAsia" w:ascii="仿宋_GB2312" w:hAnsi="仿宋" w:eastAsia="仿宋_GB2312" w:cs="Times New Roman"/>
          <w:b/>
          <w:bCs/>
          <w:kern w:val="0"/>
          <w:sz w:val="32"/>
          <w:szCs w:val="32"/>
          <w:lang w:val="en-US" w:eastAsia="zh-CN" w:bidi="ar-SA"/>
        </w:rPr>
        <w:t>3.绩效相关。</w:t>
      </w:r>
      <w:r>
        <w:rPr>
          <w:rFonts w:hint="eastAsia" w:ascii="仿宋_GB2312" w:hAnsi="仿宋" w:eastAsia="仿宋_GB2312" w:cs="Times New Roman"/>
          <w:kern w:val="0"/>
          <w:sz w:val="32"/>
          <w:szCs w:val="32"/>
          <w:lang w:val="en-US" w:eastAsia="zh-CN" w:bidi="ar-SA"/>
        </w:rPr>
        <w:t>针对专项资金及其产出绩效进行评价，评价结果清晰反映项目实施和产出绩效之间的紧密对应关系。</w:t>
      </w:r>
    </w:p>
    <w:p>
      <w:pPr>
        <w:spacing w:line="580" w:lineRule="exact"/>
        <w:ind w:firstLine="640" w:firstLineChars="200"/>
        <w:rPr>
          <w:rStyle w:val="35"/>
          <w:rFonts w:hint="eastAsia" w:ascii="楷体_GB2312" w:hAnsi="楷体_GB2312" w:eastAsia="楷体_GB2312" w:cs="楷体_GB2312"/>
          <w:bCs/>
          <w:color w:val="000000"/>
          <w:sz w:val="32"/>
          <w:szCs w:val="32"/>
          <w:lang w:eastAsia="zh-CN"/>
        </w:rPr>
      </w:pPr>
      <w:r>
        <w:rPr>
          <w:rStyle w:val="35"/>
          <w:rFonts w:hint="eastAsia" w:ascii="楷体_GB2312" w:hAnsi="楷体_GB2312" w:eastAsia="楷体_GB2312" w:cs="楷体_GB2312"/>
          <w:bCs/>
          <w:color w:val="000000"/>
          <w:sz w:val="32"/>
          <w:szCs w:val="32"/>
          <w:lang w:eastAsia="zh-CN"/>
        </w:rPr>
        <w:t>（三）绩效评价指标体系</w:t>
      </w:r>
    </w:p>
    <w:p>
      <w:pPr>
        <w:spacing w:line="600" w:lineRule="exact"/>
        <w:ind w:firstLine="640" w:firstLineChars="200"/>
        <w:rPr>
          <w:rStyle w:val="35"/>
          <w:rFonts w:hint="eastAsia" w:ascii="仿宋_GB2312" w:hAnsi="仿宋_GB2312" w:eastAsia="仿宋_GB2312" w:cs="仿宋_GB2312"/>
          <w:color w:val="000000"/>
          <w:sz w:val="32"/>
          <w:szCs w:val="32"/>
        </w:rPr>
      </w:pPr>
      <w:r>
        <w:rPr>
          <w:rStyle w:val="35"/>
          <w:rFonts w:hint="eastAsia" w:ascii="仿宋_GB2312" w:hAnsi="仿宋_GB2312" w:eastAsia="仿宋_GB2312" w:cs="仿宋_GB2312"/>
          <w:color w:val="000000"/>
          <w:sz w:val="32"/>
          <w:szCs w:val="32"/>
        </w:rPr>
        <w:t>本次评价依据《关于印发&lt;市级项目支出部门绩效评价操作规程&gt;的通知》(青财绩〔2020〕8号)的要求，从决策、过程、产出、效益四个方面，对专项资金的实施情况开展评价。</w:t>
      </w:r>
    </w:p>
    <w:p>
      <w:pPr>
        <w:spacing w:line="600" w:lineRule="exact"/>
        <w:ind w:firstLine="640" w:firstLineChars="200"/>
        <w:rPr>
          <w:rStyle w:val="35"/>
          <w:rFonts w:hint="eastAsia" w:ascii="仿宋_GB2312" w:hAnsi="仿宋_GB2312" w:eastAsia="仿宋_GB2312" w:cs="仿宋_GB2312"/>
          <w:color w:val="000000"/>
          <w:sz w:val="32"/>
          <w:szCs w:val="32"/>
        </w:rPr>
      </w:pPr>
      <w:r>
        <w:rPr>
          <w:rStyle w:val="35"/>
          <w:rFonts w:hint="eastAsia" w:ascii="仿宋_GB2312" w:hAnsi="仿宋_GB2312" w:eastAsia="仿宋_GB2312" w:cs="仿宋_GB2312"/>
          <w:color w:val="000000"/>
          <w:sz w:val="32"/>
          <w:szCs w:val="32"/>
        </w:rPr>
        <w:t>决策方面包括项目立项、绩效目标和资金投入3个二级指标。项目立项方面下设2个三级指标，其中“立项依据充分性”考察项目立项是否符合法律法规、相关政策、发展规划以及部门职责，用以反映和考核项目立项依据情况；“</w:t>
      </w:r>
      <w:r>
        <w:rPr>
          <w:rStyle w:val="35"/>
          <w:rFonts w:hint="eastAsia" w:ascii="仿宋_GB2312" w:hAnsi="仿宋_GB2312" w:eastAsia="仿宋_GB2312" w:cs="仿宋_GB2312"/>
          <w:color w:val="000000"/>
          <w:sz w:val="32"/>
          <w:szCs w:val="32"/>
          <w:lang w:eastAsia="zh-CN"/>
        </w:rPr>
        <w:t>立项程序</w:t>
      </w:r>
      <w:r>
        <w:rPr>
          <w:rStyle w:val="35"/>
          <w:rFonts w:hint="eastAsia" w:ascii="仿宋_GB2312" w:hAnsi="仿宋_GB2312" w:eastAsia="仿宋_GB2312" w:cs="仿宋_GB2312"/>
          <w:color w:val="000000"/>
          <w:sz w:val="32"/>
          <w:szCs w:val="32"/>
        </w:rPr>
        <w:t>规范性”考察项目的申请、设立过程是否符合相关要求，用以反映和考核项目立项的规范情况。绩效目标方面下设2个三级指标，其中“绩效目标合理性”考察项目所设定的绩效目标是否依据充分，是否符合客观实际，用以反映和考核项目绩效目标与项目实施的相符情况；“绩效指标明确性”考察依据绩效目标设定的绩效指标是否清晰、细化、可衡量等，用以反映和考核项目绩效目标的明细化情况。资金投入方面下设2个三级指标，其中“预算编制科学性”考察项目预算编制是否经过科学论证、有明确标准，资金额度与年度目标是否相适应，用以反映和考核项目预算编制的科学性、合理性情况；“资金分配合理性” 考察项目资金分配是否有测算依据，预算安排内容与专项资金的设立目的及年度工作重点是否一致，用以反映和考核项目预算资金分配的科学性、合理性。</w:t>
      </w:r>
    </w:p>
    <w:p>
      <w:pPr>
        <w:spacing w:line="600" w:lineRule="exact"/>
        <w:ind w:firstLine="640" w:firstLineChars="200"/>
        <w:rPr>
          <w:rStyle w:val="35"/>
          <w:rFonts w:hint="eastAsia" w:ascii="仿宋_GB2312" w:hAnsi="仿宋_GB2312" w:eastAsia="仿宋_GB2312" w:cs="仿宋_GB2312"/>
          <w:color w:val="000000"/>
          <w:sz w:val="32"/>
          <w:szCs w:val="32"/>
        </w:rPr>
      </w:pPr>
      <w:r>
        <w:rPr>
          <w:rStyle w:val="35"/>
          <w:rFonts w:hint="eastAsia" w:ascii="仿宋_GB2312" w:hAnsi="仿宋_GB2312" w:eastAsia="仿宋_GB2312" w:cs="仿宋_GB2312"/>
          <w:color w:val="000000"/>
          <w:sz w:val="32"/>
          <w:szCs w:val="32"/>
        </w:rPr>
        <w:t>过程方面包括资金管理和组织实施2个二级指标。资金管理方面包括3个三级指标，其中“资金到位率”考察实际到位资金与</w:t>
      </w:r>
      <w:r>
        <w:rPr>
          <w:rStyle w:val="35"/>
          <w:rFonts w:hint="eastAsia" w:ascii="仿宋_GB2312" w:hAnsi="仿宋_GB2312" w:eastAsia="仿宋_GB2312" w:cs="仿宋_GB2312"/>
          <w:color w:val="000000"/>
          <w:sz w:val="32"/>
          <w:szCs w:val="32"/>
          <w:lang w:eastAsia="zh-CN"/>
        </w:rPr>
        <w:t>预算</w:t>
      </w:r>
      <w:r>
        <w:rPr>
          <w:rStyle w:val="35"/>
          <w:rFonts w:hint="eastAsia" w:ascii="仿宋_GB2312" w:hAnsi="仿宋_GB2312" w:eastAsia="仿宋_GB2312" w:cs="仿宋_GB2312"/>
          <w:color w:val="000000"/>
          <w:sz w:val="32"/>
          <w:szCs w:val="32"/>
        </w:rPr>
        <w:t>资金的比率，用以反映和考核资金落实情况对项目实施的总体保障程度；“预算执行率”考察项目预算资金是否按照计划执行，用以反映或考核项目预算执行情况；“资金使用合规性”考察</w:t>
      </w:r>
      <w:r>
        <w:rPr>
          <w:rStyle w:val="35"/>
          <w:rFonts w:hint="eastAsia" w:ascii="仿宋_GB2312" w:hAnsi="仿宋_GB2312" w:eastAsia="仿宋_GB2312" w:cs="仿宋_GB2312"/>
          <w:color w:val="000000"/>
          <w:sz w:val="32"/>
          <w:szCs w:val="32"/>
          <w:lang w:eastAsia="zh-CN"/>
        </w:rPr>
        <w:t>项目资金使用是否符合相关的财务管理制度规定，用以反映和考核项目资金的规范运行情况</w:t>
      </w:r>
      <w:r>
        <w:rPr>
          <w:rStyle w:val="35"/>
          <w:rFonts w:hint="eastAsia" w:ascii="仿宋_GB2312" w:hAnsi="仿宋_GB2312" w:eastAsia="仿宋_GB2312" w:cs="仿宋_GB2312"/>
          <w:color w:val="000000"/>
          <w:sz w:val="32"/>
          <w:szCs w:val="32"/>
        </w:rPr>
        <w:t>。组织实施方面包括2个三级指标，其中“管理制度健全性”考察项目实施单位的管理制度是否健全，是否已制定或具有相应的财务和业务管理制度，财务和业务管理制度是否合法、合规、完整</w:t>
      </w:r>
      <w:r>
        <w:rPr>
          <w:rStyle w:val="35"/>
          <w:rFonts w:hint="eastAsia" w:ascii="仿宋_GB2312" w:hAnsi="仿宋_GB2312" w:eastAsia="仿宋_GB2312" w:cs="仿宋_GB2312"/>
          <w:color w:val="000000"/>
          <w:sz w:val="32"/>
          <w:szCs w:val="32"/>
          <w:lang w:eastAsia="zh-CN"/>
        </w:rPr>
        <w:t>，</w:t>
      </w:r>
      <w:r>
        <w:rPr>
          <w:rStyle w:val="35"/>
          <w:rFonts w:hint="eastAsia" w:ascii="仿宋_GB2312" w:hAnsi="仿宋_GB2312" w:eastAsia="仿宋_GB2312" w:cs="仿宋_GB2312"/>
          <w:color w:val="000000"/>
          <w:sz w:val="32"/>
          <w:szCs w:val="32"/>
        </w:rPr>
        <w:t>用以反映和考核财务和业务管理制度对项目顺利实施的保障情况；“制度执行有效性”考察项目实施是否符合相关管理规定，用以反映和考核相关管理制度的有效执行情况。</w:t>
      </w:r>
    </w:p>
    <w:p>
      <w:pPr>
        <w:spacing w:line="600" w:lineRule="exact"/>
        <w:ind w:firstLine="640" w:firstLineChars="200"/>
        <w:rPr>
          <w:rStyle w:val="35"/>
          <w:rFonts w:hint="eastAsia" w:ascii="仿宋_GB2312" w:hAnsi="仿宋_GB2312" w:eastAsia="仿宋_GB2312" w:cs="仿宋_GB2312"/>
          <w:color w:val="000000"/>
          <w:sz w:val="32"/>
          <w:szCs w:val="32"/>
          <w:lang w:val="en-US" w:eastAsia="zh-CN"/>
        </w:rPr>
      </w:pPr>
      <w:r>
        <w:rPr>
          <w:rStyle w:val="35"/>
          <w:rFonts w:hint="eastAsia" w:ascii="仿宋_GB2312" w:hAnsi="仿宋_GB2312" w:eastAsia="仿宋_GB2312" w:cs="仿宋_GB2312"/>
          <w:color w:val="000000"/>
          <w:sz w:val="32"/>
          <w:szCs w:val="32"/>
        </w:rPr>
        <w:t>产出方面包括产出数量、产出质量、产出时效和产出成本4个二级指标。产出数量</w:t>
      </w:r>
      <w:r>
        <w:rPr>
          <w:rStyle w:val="35"/>
          <w:rFonts w:hint="eastAsia" w:ascii="仿宋_GB2312" w:hAnsi="仿宋_GB2312" w:eastAsia="仿宋_GB2312" w:cs="仿宋_GB2312"/>
          <w:color w:val="000000"/>
          <w:sz w:val="32"/>
          <w:szCs w:val="32"/>
          <w:lang w:eastAsia="zh-CN"/>
        </w:rPr>
        <w:t>方面包括</w:t>
      </w:r>
      <w:r>
        <w:rPr>
          <w:rStyle w:val="35"/>
          <w:rFonts w:hint="eastAsia" w:ascii="仿宋_GB2312" w:hAnsi="仿宋_GB2312" w:eastAsia="仿宋_GB2312" w:cs="仿宋_GB2312"/>
          <w:color w:val="000000"/>
          <w:sz w:val="32"/>
          <w:szCs w:val="32"/>
          <w:lang w:val="en-US" w:eastAsia="zh-CN"/>
        </w:rPr>
        <w:t>2个三级指标，其中“实际完成率”</w:t>
      </w:r>
      <w:r>
        <w:rPr>
          <w:rStyle w:val="35"/>
          <w:rFonts w:hint="eastAsia" w:ascii="仿宋_GB2312" w:hAnsi="仿宋_GB2312" w:eastAsia="仿宋_GB2312" w:cs="仿宋_GB2312"/>
          <w:color w:val="000000"/>
          <w:sz w:val="32"/>
          <w:szCs w:val="32"/>
        </w:rPr>
        <w:t>考察项目实施的实际产出数与计划产出数的比率，用以反映和考核项目产出数量目标的实现程度</w:t>
      </w:r>
      <w:r>
        <w:rPr>
          <w:rStyle w:val="35"/>
          <w:rFonts w:hint="eastAsia" w:ascii="仿宋_GB2312" w:hAnsi="仿宋_GB2312" w:eastAsia="仿宋_GB2312" w:cs="仿宋_GB2312"/>
          <w:color w:val="000000"/>
          <w:sz w:val="32"/>
          <w:szCs w:val="32"/>
          <w:lang w:eastAsia="zh-CN"/>
        </w:rPr>
        <w:t>；“数量变动率”考察项目实际增减变动完成情况。产出质量方面</w:t>
      </w:r>
      <w:r>
        <w:rPr>
          <w:rStyle w:val="35"/>
          <w:rFonts w:hint="eastAsia" w:ascii="仿宋_GB2312" w:hAnsi="仿宋_GB2312" w:eastAsia="仿宋_GB2312" w:cs="仿宋_GB2312"/>
          <w:color w:val="000000"/>
          <w:sz w:val="32"/>
          <w:szCs w:val="32"/>
          <w:lang w:val="en-US" w:eastAsia="zh-CN"/>
        </w:rPr>
        <w:t>二级指标为“质量达标率”，考察项目完成的质量达标产出数与实际产出数的比率，用以反映和考核项目产出质量目标的实现程度。产出时效方面三级指标为“完成及时率”，考察各项目是否均按照计划、文件批复等相关规定及时完成，用以反映和考核项目产出时效目标的实现程度。产出成本方面二级指标为“成本节约率”，考察完成项目计划工作目标的实际节约成本与计划成本的比率，用以反映和考核项目的成本节约程度。</w:t>
      </w:r>
    </w:p>
    <w:p>
      <w:pPr>
        <w:spacing w:line="600" w:lineRule="exact"/>
        <w:ind w:firstLine="640" w:firstLineChars="200"/>
        <w:rPr>
          <w:rStyle w:val="35"/>
          <w:rFonts w:hint="eastAsia" w:ascii="仿宋_GB2312" w:hAnsi="仿宋_GB2312" w:eastAsia="仿宋_GB2312" w:cs="仿宋_GB2312"/>
          <w:color w:val="000000"/>
          <w:sz w:val="32"/>
          <w:szCs w:val="32"/>
          <w:lang w:val="en-US" w:eastAsia="zh-CN"/>
        </w:rPr>
      </w:pPr>
      <w:r>
        <w:rPr>
          <w:rStyle w:val="35"/>
          <w:rFonts w:hint="eastAsia" w:ascii="仿宋_GB2312" w:hAnsi="仿宋_GB2312" w:eastAsia="仿宋_GB2312" w:cs="仿宋_GB2312"/>
          <w:color w:val="000000"/>
          <w:sz w:val="32"/>
          <w:szCs w:val="32"/>
          <w:lang w:val="en-US" w:eastAsia="zh-CN"/>
        </w:rPr>
        <w:t>效益</w:t>
      </w:r>
      <w:r>
        <w:rPr>
          <w:rStyle w:val="35"/>
          <w:rFonts w:hint="eastAsia" w:ascii="仿宋_GB2312" w:hAnsi="仿宋_GB2312" w:eastAsia="仿宋_GB2312" w:cs="仿宋_GB2312"/>
          <w:color w:val="000000"/>
          <w:sz w:val="32"/>
          <w:szCs w:val="32"/>
        </w:rPr>
        <w:t>方面包括</w:t>
      </w:r>
      <w:r>
        <w:rPr>
          <w:rStyle w:val="35"/>
          <w:rFonts w:hint="eastAsia" w:ascii="仿宋_GB2312" w:hAnsi="仿宋_GB2312" w:eastAsia="仿宋_GB2312" w:cs="仿宋_GB2312"/>
          <w:color w:val="000000"/>
          <w:sz w:val="32"/>
          <w:szCs w:val="32"/>
          <w:lang w:eastAsia="zh-CN"/>
        </w:rPr>
        <w:t>项目</w:t>
      </w:r>
      <w:r>
        <w:rPr>
          <w:rStyle w:val="35"/>
          <w:rFonts w:hint="eastAsia" w:ascii="仿宋_GB2312" w:hAnsi="仿宋_GB2312" w:eastAsia="仿宋_GB2312" w:cs="仿宋_GB2312"/>
          <w:color w:val="000000"/>
          <w:sz w:val="32"/>
          <w:szCs w:val="32"/>
        </w:rPr>
        <w:t>效益、可持续影响效益和满意度3个二级指标。</w:t>
      </w:r>
      <w:r>
        <w:rPr>
          <w:rStyle w:val="35"/>
          <w:rFonts w:hint="eastAsia" w:ascii="仿宋_GB2312" w:hAnsi="仿宋_GB2312" w:eastAsia="仿宋_GB2312" w:cs="仿宋_GB2312"/>
          <w:color w:val="000000"/>
          <w:sz w:val="32"/>
          <w:szCs w:val="32"/>
          <w:lang w:eastAsia="zh-CN"/>
        </w:rPr>
        <w:t>项目</w:t>
      </w:r>
      <w:r>
        <w:rPr>
          <w:rStyle w:val="35"/>
          <w:rFonts w:hint="eastAsia" w:ascii="仿宋_GB2312" w:hAnsi="仿宋_GB2312" w:eastAsia="仿宋_GB2312" w:cs="仿宋_GB2312"/>
          <w:color w:val="000000"/>
          <w:sz w:val="32"/>
          <w:szCs w:val="32"/>
        </w:rPr>
        <w:t>效益</w:t>
      </w:r>
      <w:r>
        <w:rPr>
          <w:rStyle w:val="35"/>
          <w:rFonts w:hint="eastAsia" w:ascii="仿宋_GB2312" w:hAnsi="仿宋_GB2312" w:eastAsia="仿宋_GB2312" w:cs="仿宋_GB2312"/>
          <w:color w:val="000000"/>
          <w:sz w:val="32"/>
          <w:szCs w:val="32"/>
          <w:lang w:eastAsia="zh-CN"/>
        </w:rPr>
        <w:t>方面设置社会效益</w:t>
      </w:r>
      <w:r>
        <w:rPr>
          <w:rStyle w:val="35"/>
          <w:rFonts w:hint="eastAsia" w:ascii="仿宋_GB2312" w:hAnsi="仿宋_GB2312" w:eastAsia="仿宋_GB2312" w:cs="仿宋_GB2312"/>
          <w:color w:val="000000"/>
          <w:sz w:val="32"/>
          <w:szCs w:val="32"/>
          <w:lang w:val="en-US" w:eastAsia="zh-CN"/>
        </w:rPr>
        <w:t>1个三级指标及3个四级指标。其中，“农贸市场投诉办结率”考察市市场监管局应对投诉的办结情况；“农贸市场食品安全事故发生率”考察考察星级农贸市场创建政策实施后农贸市场食品安全管理成效；“农贸市场消防事故发生率”考察星级农贸市场创建政策实施后农贸市场消防安全管理成效。可持续影响方面设置2个三级指标，其中“政策可持续性”考察项目后续运行及成效发挥的可持续影响情况；“项目发展机制可持续性”考察项目运转是否形成了可持续发展的机制。满意度方面设置“受益群体满意度”三级指标，考察受益群体对项目实施效果的满意程度。</w:t>
      </w:r>
    </w:p>
    <w:p>
      <w:pPr>
        <w:spacing w:line="580" w:lineRule="exact"/>
        <w:ind w:firstLine="640" w:firstLineChars="200"/>
        <w:rPr>
          <w:rStyle w:val="35"/>
          <w:rFonts w:hint="eastAsia" w:ascii="楷体_GB2312" w:hAnsi="楷体_GB2312" w:eastAsia="楷体_GB2312" w:cs="楷体_GB2312"/>
          <w:bCs/>
          <w:color w:val="000000"/>
          <w:sz w:val="32"/>
          <w:szCs w:val="32"/>
          <w:lang w:eastAsia="zh-CN"/>
        </w:rPr>
      </w:pPr>
      <w:r>
        <w:rPr>
          <w:rStyle w:val="35"/>
          <w:rFonts w:hint="eastAsia" w:ascii="楷体_GB2312" w:hAnsi="楷体_GB2312" w:eastAsia="楷体_GB2312" w:cs="楷体_GB2312"/>
          <w:bCs/>
          <w:color w:val="000000"/>
          <w:sz w:val="32"/>
          <w:szCs w:val="32"/>
          <w:lang w:eastAsia="zh-CN"/>
        </w:rPr>
        <w:t>（四）绩效评价方法及评价标准</w:t>
      </w:r>
    </w:p>
    <w:p>
      <w:pPr>
        <w:spacing w:line="600" w:lineRule="exact"/>
        <w:ind w:firstLine="640" w:firstLineChars="200"/>
        <w:rPr>
          <w:rStyle w:val="35"/>
          <w:rFonts w:hint="eastAsia" w:ascii="仿宋_GB2312" w:hAnsi="仿宋_GB2312" w:eastAsia="仿宋_GB2312" w:cs="仿宋_GB2312"/>
          <w:color w:val="000000"/>
          <w:sz w:val="32"/>
          <w:szCs w:val="32"/>
          <w:lang w:eastAsia="zh-CN"/>
        </w:rPr>
      </w:pPr>
      <w:r>
        <w:rPr>
          <w:rStyle w:val="35"/>
          <w:rFonts w:hint="eastAsia" w:ascii="仿宋_GB2312" w:hAnsi="仿宋_GB2312" w:eastAsia="仿宋_GB2312" w:cs="仿宋_GB2312"/>
          <w:color w:val="000000"/>
          <w:sz w:val="32"/>
          <w:szCs w:val="32"/>
        </w:rPr>
        <w:t>本次绩效评价主要以</w:t>
      </w:r>
      <w:r>
        <w:rPr>
          <w:rStyle w:val="35"/>
          <w:rFonts w:hint="eastAsia" w:ascii="仿宋_GB2312" w:hAnsi="仿宋_GB2312" w:eastAsia="仿宋_GB2312" w:cs="仿宋_GB2312"/>
          <w:color w:val="000000"/>
          <w:sz w:val="32"/>
          <w:szCs w:val="32"/>
          <w:lang w:eastAsia="zh-CN"/>
        </w:rPr>
        <w:t>资料审查</w:t>
      </w:r>
      <w:r>
        <w:rPr>
          <w:rStyle w:val="35"/>
          <w:rFonts w:hint="eastAsia" w:ascii="仿宋_GB2312" w:hAnsi="仿宋_GB2312" w:eastAsia="仿宋_GB2312" w:cs="仿宋_GB2312"/>
          <w:color w:val="000000"/>
          <w:sz w:val="32"/>
          <w:szCs w:val="32"/>
        </w:rPr>
        <w:t>、现场核查作为主要数据来源及取数方式。通过获取项目实施背景及</w:t>
      </w:r>
      <w:r>
        <w:rPr>
          <w:rStyle w:val="35"/>
          <w:rFonts w:hint="eastAsia" w:ascii="仿宋_GB2312" w:hAnsi="仿宋_GB2312" w:eastAsia="仿宋_GB2312" w:cs="仿宋_GB2312"/>
          <w:color w:val="000000"/>
          <w:sz w:val="32"/>
          <w:szCs w:val="32"/>
          <w:lang w:eastAsia="zh-CN"/>
        </w:rPr>
        <w:t>星级农贸市场创建</w:t>
      </w:r>
      <w:r>
        <w:rPr>
          <w:rStyle w:val="35"/>
          <w:rFonts w:hint="eastAsia" w:ascii="仿宋_GB2312" w:hAnsi="仿宋_GB2312" w:eastAsia="仿宋_GB2312" w:cs="仿宋_GB2312"/>
          <w:color w:val="000000"/>
          <w:sz w:val="32"/>
          <w:szCs w:val="32"/>
        </w:rPr>
        <w:t>近三年申报及评定情况等全过程管理资料，对项目立项、项目管理等重要信息要素进行分析，初步确定评价核心。通过核查存档资料、财务数据等，为资金管理、项目产出、项目效益等评价提供支撑</w:t>
      </w:r>
      <w:r>
        <w:rPr>
          <w:rStyle w:val="35"/>
          <w:rFonts w:hint="eastAsia" w:ascii="仿宋_GB2312" w:hAnsi="仿宋_GB2312" w:eastAsia="仿宋_GB2312" w:cs="仿宋_GB2312"/>
          <w:color w:val="000000"/>
          <w:sz w:val="32"/>
          <w:szCs w:val="32"/>
          <w:lang w:eastAsia="zh-CN"/>
        </w:rPr>
        <w:t>。</w:t>
      </w:r>
    </w:p>
    <w:p>
      <w:pPr>
        <w:numPr>
          <w:ilvl w:val="0"/>
          <w:numId w:val="0"/>
        </w:numPr>
        <w:spacing w:line="580" w:lineRule="exact"/>
        <w:ind w:firstLine="640" w:firstLineChars="200"/>
        <w:rPr>
          <w:rStyle w:val="35"/>
          <w:rFonts w:hint="eastAsia" w:ascii="仿宋_GB2312" w:hAnsi="Times New Roman" w:eastAsia="仿宋"/>
          <w:bCs/>
          <w:color w:val="000000"/>
          <w:sz w:val="28"/>
          <w:szCs w:val="28"/>
        </w:rPr>
      </w:pPr>
      <w:r>
        <w:rPr>
          <w:rStyle w:val="35"/>
          <w:rFonts w:hint="eastAsia" w:ascii="楷体_GB2312" w:hAnsi="楷体_GB2312" w:eastAsia="楷体_GB2312" w:cs="楷体_GB2312"/>
          <w:bCs/>
          <w:color w:val="000000"/>
          <w:sz w:val="32"/>
          <w:szCs w:val="32"/>
          <w:lang w:eastAsia="zh-CN"/>
        </w:rPr>
        <w:t>（五）绩效评价工作过程</w:t>
      </w:r>
      <w:r>
        <w:rPr>
          <w:rStyle w:val="35"/>
          <w:rFonts w:hint="eastAsia" w:ascii="仿宋_GB2312" w:hAnsi="Times New Roman" w:eastAsia="仿宋"/>
          <w:bCs/>
          <w:color w:val="000000"/>
          <w:sz w:val="28"/>
          <w:szCs w:val="28"/>
        </w:rPr>
        <w:t>。</w:t>
      </w:r>
    </w:p>
    <w:p>
      <w:pPr>
        <w:spacing w:line="600" w:lineRule="exact"/>
        <w:ind w:firstLine="640" w:firstLineChars="200"/>
        <w:rPr>
          <w:rFonts w:hint="eastAsia" w:ascii="仿宋_GB2312" w:hAnsi="仿宋_GB2312" w:eastAsia="仿宋_GB2312" w:cs="仿宋_GB2312"/>
          <w:sz w:val="32"/>
          <w:szCs w:val="32"/>
        </w:rPr>
      </w:pPr>
      <w:r>
        <w:rPr>
          <w:rStyle w:val="35"/>
          <w:rFonts w:hint="eastAsia" w:ascii="仿宋_GB2312" w:hAnsi="仿宋_GB2312" w:eastAsia="仿宋_GB2312" w:cs="仿宋_GB2312"/>
          <w:color w:val="000000"/>
          <w:sz w:val="32"/>
          <w:szCs w:val="32"/>
        </w:rPr>
        <w:t>本次项目评价周期为2021年4月15日到2021年5月12日。按照评价要求，对整个评价周期进行阶段性划分，明确每个阶段的任务、工作内容及节点成果。绩效评价实施过程分为三个阶段。</w:t>
      </w:r>
      <w:r>
        <w:rPr>
          <w:rFonts w:hint="eastAsia" w:ascii="仿宋_GB2312" w:hAnsi="仿宋_GB2312" w:eastAsia="仿宋_GB2312" w:cs="仿宋_GB2312"/>
          <w:sz w:val="32"/>
          <w:szCs w:val="32"/>
        </w:rPr>
        <w:t>第一阶段为基础工作准备阶段，主要内容是组建绩效评价小组，确定评价工作思路、制定评价指标体系，收集和整理与项目相关的文件资料，了解项目基本情况；第二阶段为收集资料，采集评价数据阶段，主要内容是对照指标体系和绩效目标申报表，有针对性的收集相关证明材料，开展评分评价。第三阶段为绩效评价报告编制阶段，主要内容是撰写项目绩效评价报告，并向被评价单位征求意见。</w:t>
      </w:r>
    </w:p>
    <w:p>
      <w:pPr>
        <w:spacing w:line="60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评价工作具体从项目立项、项目实施、项目绩效、项目效益四个方面来开展。项目制定方面主要评价包括对项目立项合理、合规情况；项目实施主要评价包括对实施过程中的管理落实情况、资金使用情况的考察，项目绩效方面主要评价包括对项目的产出、项目的效果的考察，项目影响方面主要评价包括项目实施后的满意度。在整个评价过程中，重点关注以下内容：一是通过项目实施关注项目目标是否按时保质完成；二是专项资金是否专款专用有效使用；三是在项目实施过程中的管理落实情况；四是项目实施的实际效果和社会评价如何，对</w:t>
      </w:r>
      <w:r>
        <w:rPr>
          <w:rFonts w:hint="eastAsia" w:ascii="仿宋_GB2312" w:hAnsi="仿宋_GB2312" w:eastAsia="仿宋_GB2312" w:cs="仿宋_GB2312"/>
          <w:sz w:val="32"/>
          <w:szCs w:val="32"/>
          <w:lang w:eastAsia="zh-CN"/>
        </w:rPr>
        <w:t>星级农贸市场创建</w:t>
      </w:r>
      <w:r>
        <w:rPr>
          <w:rFonts w:hint="eastAsia" w:ascii="仿宋_GB2312" w:hAnsi="仿宋_GB2312" w:eastAsia="仿宋_GB2312" w:cs="仿宋_GB2312"/>
          <w:sz w:val="32"/>
          <w:szCs w:val="32"/>
        </w:rPr>
        <w:t>社会效益是否显著。</w:t>
      </w:r>
    </w:p>
    <w:p>
      <w:pPr>
        <w:numPr>
          <w:ilvl w:val="0"/>
          <w:numId w:val="0"/>
        </w:numPr>
        <w:wordWrap/>
        <w:spacing w:line="560" w:lineRule="exact"/>
        <w:ind w:right="0" w:firstLine="640" w:firstLineChars="200"/>
        <w:textAlignment w:val="auto"/>
        <w:outlineLvl w:val="2"/>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三、综合评价情况及评价结论</w:t>
      </w:r>
    </w:p>
    <w:p>
      <w:pPr>
        <w:numPr>
          <w:ilvl w:val="0"/>
          <w:numId w:val="0"/>
        </w:numPr>
        <w:wordWrap/>
        <w:spacing w:line="560" w:lineRule="exact"/>
        <w:ind w:right="0" w:firstLine="640" w:firstLineChars="200"/>
        <w:textAlignment w:val="auto"/>
        <w:outlineLvl w:val="2"/>
        <w:rPr>
          <w:rFonts w:hint="eastAsia" w:ascii="仿宋_GB2312" w:hAnsi="仿宋_GB2312" w:eastAsia="仿宋_GB2312" w:cs="仿宋_GB2312"/>
          <w:sz w:val="32"/>
          <w:szCs w:val="32"/>
          <w:lang w:eastAsia="zh-CN"/>
        </w:rPr>
      </w:pPr>
      <w:r>
        <w:rPr>
          <w:rFonts w:ascii="仿宋_GB2312"/>
          <w:sz w:val="32"/>
          <w:szCs w:val="32"/>
        </w:rPr>
        <w:t>2</w:t>
      </w:r>
      <w:r>
        <w:rPr>
          <w:rFonts w:hint="eastAsia" w:ascii="仿宋_GB2312" w:hAnsi="仿宋_GB2312" w:eastAsia="仿宋_GB2312" w:cs="仿宋_GB2312"/>
          <w:sz w:val="32"/>
          <w:szCs w:val="32"/>
        </w:rPr>
        <w:t>020年度</w:t>
      </w:r>
      <w:r>
        <w:rPr>
          <w:rFonts w:hint="eastAsia" w:ascii="仿宋_GB2312" w:hAnsi="仿宋_GB2312" w:eastAsia="仿宋_GB2312" w:cs="仿宋_GB2312"/>
          <w:sz w:val="32"/>
          <w:szCs w:val="32"/>
          <w:lang w:eastAsia="zh-CN"/>
        </w:rPr>
        <w:t>星级农贸市场创建</w:t>
      </w:r>
      <w:r>
        <w:rPr>
          <w:rFonts w:hint="eastAsia" w:ascii="仿宋_GB2312" w:hAnsi="仿宋_GB2312" w:eastAsia="仿宋_GB2312" w:cs="仿宋_GB2312"/>
          <w:sz w:val="32"/>
          <w:szCs w:val="32"/>
        </w:rPr>
        <w:t>项目总体得分为</w:t>
      </w:r>
      <w:r>
        <w:rPr>
          <w:rFonts w:hint="eastAsia" w:ascii="仿宋_GB2312" w:hAnsi="仿宋_GB2312" w:eastAsia="仿宋_GB2312" w:cs="仿宋_GB2312"/>
          <w:sz w:val="32"/>
          <w:szCs w:val="32"/>
          <w:lang w:val="en-US" w:eastAsia="zh-CN"/>
        </w:rPr>
        <w:t>90.1</w:t>
      </w:r>
      <w:r>
        <w:rPr>
          <w:rFonts w:hint="eastAsia" w:ascii="仿宋_GB2312" w:hAnsi="仿宋_GB2312" w:eastAsia="仿宋_GB2312" w:cs="仿宋_GB2312"/>
          <w:sz w:val="32"/>
          <w:szCs w:val="32"/>
          <w:lang w:eastAsia="zh-CN"/>
        </w:rPr>
        <w:t>分</w:t>
      </w:r>
      <w:r>
        <w:rPr>
          <w:rFonts w:hint="eastAsia" w:ascii="仿宋_GB2312" w:hAnsi="仿宋_GB2312" w:eastAsia="仿宋_GB2312" w:cs="仿宋_GB2312"/>
          <w:sz w:val="32"/>
          <w:szCs w:val="32"/>
        </w:rPr>
        <w:t>，绩效评价等级为：优。</w:t>
      </w:r>
      <w:r>
        <w:rPr>
          <w:rFonts w:hint="eastAsia" w:ascii="仿宋_GB2312" w:hAnsi="仿宋_GB2312" w:eastAsia="仿宋_GB2312" w:cs="仿宋_GB2312"/>
          <w:color w:val="auto"/>
          <w:sz w:val="32"/>
          <w:szCs w:val="32"/>
        </w:rPr>
        <w:t>其中“决策”权重20分，得</w:t>
      </w:r>
      <w:r>
        <w:rPr>
          <w:rFonts w:hint="eastAsia" w:ascii="仿宋_GB2312" w:hAnsi="仿宋_GB2312" w:eastAsia="仿宋_GB2312" w:cs="仿宋_GB2312"/>
          <w:color w:val="auto"/>
          <w:sz w:val="32"/>
          <w:szCs w:val="32"/>
          <w:lang w:val="en-US" w:eastAsia="zh-CN"/>
        </w:rPr>
        <w:t>19</w:t>
      </w:r>
      <w:r>
        <w:rPr>
          <w:rFonts w:hint="eastAsia" w:ascii="仿宋_GB2312" w:hAnsi="仿宋_GB2312" w:eastAsia="仿宋_GB2312" w:cs="仿宋_GB2312"/>
          <w:color w:val="auto"/>
          <w:sz w:val="32"/>
          <w:szCs w:val="32"/>
        </w:rPr>
        <w:t>分，得分率</w:t>
      </w:r>
      <w:r>
        <w:rPr>
          <w:rFonts w:hint="eastAsia" w:ascii="仿宋_GB2312" w:hAnsi="仿宋_GB2312" w:eastAsia="仿宋_GB2312" w:cs="仿宋_GB2312"/>
          <w:color w:val="auto"/>
          <w:sz w:val="32"/>
          <w:szCs w:val="32"/>
          <w:lang w:val="en-US" w:eastAsia="zh-CN"/>
        </w:rPr>
        <w:t>95</w:t>
      </w:r>
      <w:r>
        <w:rPr>
          <w:rFonts w:hint="eastAsia" w:ascii="仿宋_GB2312" w:hAnsi="仿宋_GB2312" w:eastAsia="仿宋_GB2312" w:cs="仿宋_GB2312"/>
          <w:color w:val="auto"/>
          <w:sz w:val="32"/>
          <w:szCs w:val="32"/>
        </w:rPr>
        <w:t>%；“过程”权重20分，得</w:t>
      </w:r>
      <w:r>
        <w:rPr>
          <w:rFonts w:hint="eastAsia" w:ascii="仿宋_GB2312" w:hAnsi="仿宋_GB2312" w:eastAsia="仿宋_GB2312" w:cs="仿宋_GB2312"/>
          <w:color w:val="auto"/>
          <w:sz w:val="32"/>
          <w:szCs w:val="32"/>
          <w:lang w:val="en-US" w:eastAsia="zh-CN"/>
        </w:rPr>
        <w:t>15.1</w:t>
      </w:r>
      <w:r>
        <w:rPr>
          <w:rFonts w:hint="eastAsia" w:ascii="仿宋_GB2312" w:hAnsi="仿宋_GB2312" w:eastAsia="仿宋_GB2312" w:cs="仿宋_GB2312"/>
          <w:color w:val="auto"/>
          <w:sz w:val="32"/>
          <w:szCs w:val="32"/>
        </w:rPr>
        <w:t>分，得分率</w:t>
      </w:r>
      <w:r>
        <w:rPr>
          <w:rFonts w:hint="eastAsia" w:ascii="仿宋_GB2312" w:hAnsi="仿宋_GB2312" w:eastAsia="仿宋_GB2312" w:cs="仿宋_GB2312"/>
          <w:color w:val="auto"/>
          <w:sz w:val="32"/>
          <w:szCs w:val="32"/>
          <w:lang w:val="en-US" w:eastAsia="zh-CN"/>
        </w:rPr>
        <w:t>75.5</w:t>
      </w:r>
      <w:r>
        <w:rPr>
          <w:rFonts w:hint="eastAsia" w:ascii="仿宋_GB2312" w:hAnsi="仿宋_GB2312" w:eastAsia="仿宋_GB2312" w:cs="仿宋_GB2312"/>
          <w:color w:val="auto"/>
          <w:sz w:val="32"/>
          <w:szCs w:val="32"/>
        </w:rPr>
        <w:t>%；“产出”权重25分，得</w:t>
      </w:r>
      <w:r>
        <w:rPr>
          <w:rFonts w:hint="eastAsia" w:ascii="仿宋_GB2312" w:hAnsi="仿宋_GB2312" w:eastAsia="仿宋_GB2312" w:cs="仿宋_GB2312"/>
          <w:color w:val="auto"/>
          <w:sz w:val="32"/>
          <w:szCs w:val="32"/>
          <w:lang w:val="en-US" w:eastAsia="zh-CN"/>
        </w:rPr>
        <w:t>21</w:t>
      </w:r>
      <w:r>
        <w:rPr>
          <w:rFonts w:hint="eastAsia" w:ascii="仿宋_GB2312" w:hAnsi="仿宋_GB2312" w:eastAsia="仿宋_GB2312" w:cs="仿宋_GB2312"/>
          <w:color w:val="auto"/>
          <w:sz w:val="32"/>
          <w:szCs w:val="32"/>
        </w:rPr>
        <w:t>分，得分率</w:t>
      </w:r>
      <w:r>
        <w:rPr>
          <w:rFonts w:hint="eastAsia" w:ascii="仿宋_GB2312" w:hAnsi="仿宋_GB2312" w:eastAsia="仿宋_GB2312" w:cs="仿宋_GB2312"/>
          <w:color w:val="auto"/>
          <w:sz w:val="32"/>
          <w:szCs w:val="32"/>
          <w:lang w:val="en-US" w:eastAsia="zh-CN"/>
        </w:rPr>
        <w:t>84</w:t>
      </w:r>
      <w:r>
        <w:rPr>
          <w:rFonts w:hint="eastAsia" w:ascii="仿宋_GB2312" w:hAnsi="仿宋_GB2312" w:eastAsia="仿宋_GB2312" w:cs="仿宋_GB2312"/>
          <w:color w:val="auto"/>
          <w:sz w:val="32"/>
          <w:szCs w:val="32"/>
        </w:rPr>
        <w:t>%；“效益”权重35分，得35分，得分率100%。</w:t>
      </w:r>
      <w:r>
        <w:rPr>
          <w:rFonts w:hint="eastAsia" w:ascii="仿宋_GB2312" w:hAnsi="仿宋_GB2312" w:eastAsia="仿宋_GB2312" w:cs="仿宋_GB2312"/>
          <w:sz w:val="32"/>
          <w:szCs w:val="32"/>
          <w:lang w:eastAsia="zh-CN"/>
        </w:rPr>
        <w:t>建议继续保留该项目。</w:t>
      </w:r>
    </w:p>
    <w:p>
      <w:pPr>
        <w:numPr>
          <w:ilvl w:val="0"/>
          <w:numId w:val="0"/>
        </w:numPr>
        <w:spacing w:line="600" w:lineRule="exact"/>
        <w:ind w:firstLine="560"/>
        <w:rPr>
          <w:rStyle w:val="35"/>
          <w:rFonts w:hint="eastAsia" w:ascii="黑体" w:hAnsi="黑体" w:eastAsia="黑体" w:cs="黑体"/>
          <w:color w:val="000000"/>
          <w:sz w:val="32"/>
          <w:szCs w:val="32"/>
          <w:lang w:val="en-US" w:eastAsia="zh-CN"/>
        </w:rPr>
      </w:pPr>
      <w:r>
        <w:rPr>
          <w:rStyle w:val="35"/>
          <w:rFonts w:hint="eastAsia" w:ascii="黑体" w:hAnsi="黑体" w:eastAsia="黑体" w:cs="黑体"/>
          <w:color w:val="000000"/>
          <w:sz w:val="32"/>
          <w:szCs w:val="32"/>
          <w:lang w:val="en-US" w:eastAsia="zh-CN"/>
        </w:rPr>
        <w:t>四、绩效评价指标分析</w:t>
      </w:r>
    </w:p>
    <w:p>
      <w:pPr>
        <w:numPr>
          <w:ilvl w:val="0"/>
          <w:numId w:val="0"/>
        </w:numPr>
        <w:spacing w:line="600" w:lineRule="exact"/>
        <w:ind w:firstLine="560"/>
        <w:rPr>
          <w:rStyle w:val="35"/>
          <w:rFonts w:hint="eastAsia" w:ascii="楷体_GB2312" w:hAnsi="楷体_GB2312" w:eastAsia="楷体_GB2312" w:cs="楷体_GB2312"/>
          <w:color w:val="000000"/>
          <w:sz w:val="32"/>
          <w:szCs w:val="32"/>
          <w:lang w:val="en-US" w:eastAsia="zh-CN"/>
        </w:rPr>
      </w:pPr>
      <w:r>
        <w:rPr>
          <w:rStyle w:val="35"/>
          <w:rFonts w:hint="eastAsia" w:ascii="楷体_GB2312" w:hAnsi="楷体_GB2312" w:eastAsia="楷体_GB2312" w:cs="楷体_GB2312"/>
          <w:color w:val="000000"/>
          <w:sz w:val="32"/>
          <w:szCs w:val="32"/>
          <w:lang w:val="en-US" w:eastAsia="zh-CN"/>
        </w:rPr>
        <w:t>（一）项目决策情况</w:t>
      </w:r>
    </w:p>
    <w:p>
      <w:pPr>
        <w:pStyle w:val="25"/>
        <w:ind w:firstLine="480"/>
        <w:rPr>
          <w:rStyle w:val="35"/>
          <w:rFonts w:hint="default" w:ascii="Times New Roman" w:hAnsi="Times New Roman" w:eastAsia="仿宋"/>
          <w:color w:val="000000"/>
          <w:sz w:val="32"/>
          <w:szCs w:val="32"/>
          <w:lang w:val="en-US"/>
        </w:rPr>
      </w:pPr>
      <w:r>
        <w:rPr>
          <w:rStyle w:val="35"/>
          <w:rFonts w:hint="eastAsia" w:ascii="仿宋_GB2312" w:hAnsi="仿宋_GB2312" w:eastAsia="仿宋_GB2312" w:cs="仿宋_GB2312"/>
          <w:b/>
          <w:bCs/>
          <w:color w:val="000000"/>
          <w:sz w:val="32"/>
          <w:szCs w:val="32"/>
          <w:lang w:val="en-US" w:eastAsia="zh-CN"/>
        </w:rPr>
        <w:t>1.</w:t>
      </w:r>
      <w:r>
        <w:rPr>
          <w:rStyle w:val="35"/>
          <w:rFonts w:hint="eastAsia" w:ascii="仿宋_GB2312" w:hAnsi="仿宋_GB2312" w:eastAsia="仿宋_GB2312" w:cs="仿宋_GB2312"/>
          <w:b/>
          <w:bCs/>
          <w:color w:val="000000"/>
          <w:sz w:val="32"/>
          <w:szCs w:val="32"/>
        </w:rPr>
        <w:t>立项依据充分性</w:t>
      </w:r>
      <w:r>
        <w:rPr>
          <w:rStyle w:val="35"/>
          <w:rFonts w:hint="eastAsia" w:eastAsia="仿宋"/>
          <w:color w:val="000000"/>
          <w:sz w:val="32"/>
          <w:szCs w:val="32"/>
          <w:lang w:eastAsia="zh-CN"/>
        </w:rPr>
        <w:t>。项目立项符合国家法律法规、国民经济发展规划和相关政策，符合行业发展规划和政策要求，与部门职责范围相符，属于部门履职所需，属于公共财政支持范围，符合中央、地方事权支出责任划分原则，项目与相关部门同类项目或部门内部相关项目不重复。该项指标得满分</w:t>
      </w:r>
      <w:r>
        <w:rPr>
          <w:rStyle w:val="35"/>
          <w:rFonts w:hint="eastAsia" w:eastAsia="仿宋"/>
          <w:color w:val="000000"/>
          <w:sz w:val="32"/>
          <w:szCs w:val="32"/>
          <w:lang w:val="en-US" w:eastAsia="zh-CN"/>
        </w:rPr>
        <w:t>3分。</w:t>
      </w:r>
    </w:p>
    <w:p>
      <w:pPr>
        <w:spacing w:line="600" w:lineRule="exact"/>
        <w:ind w:firstLine="643" w:firstLineChars="200"/>
        <w:rPr>
          <w:rStyle w:val="35"/>
          <w:rFonts w:hint="eastAsia" w:ascii="Times New Roman" w:hAnsi="Times New Roman" w:eastAsia="仿宋" w:cs="宋体"/>
          <w:color w:val="000000"/>
          <w:kern w:val="0"/>
          <w:sz w:val="32"/>
          <w:szCs w:val="32"/>
          <w:lang w:val="en-US" w:eastAsia="zh-CN" w:bidi="ar-SA"/>
        </w:rPr>
      </w:pPr>
      <w:r>
        <w:rPr>
          <w:rStyle w:val="35"/>
          <w:rFonts w:hint="eastAsia" w:ascii="仿宋_GB2312" w:hAnsi="仿宋_GB2312" w:eastAsia="仿宋_GB2312" w:cs="仿宋_GB2312"/>
          <w:b/>
          <w:bCs/>
          <w:color w:val="000000"/>
          <w:sz w:val="32"/>
          <w:szCs w:val="32"/>
          <w:lang w:val="en-US" w:eastAsia="zh-CN"/>
        </w:rPr>
        <w:t>2.</w:t>
      </w:r>
      <w:r>
        <w:rPr>
          <w:rStyle w:val="35"/>
          <w:rFonts w:hint="eastAsia" w:ascii="仿宋_GB2312" w:hAnsi="仿宋_GB2312" w:eastAsia="仿宋_GB2312" w:cs="仿宋_GB2312"/>
          <w:b/>
          <w:bCs/>
          <w:color w:val="000000"/>
          <w:sz w:val="32"/>
          <w:szCs w:val="32"/>
        </w:rPr>
        <w:t>立项程序规范性</w:t>
      </w:r>
      <w:r>
        <w:rPr>
          <w:rStyle w:val="35"/>
          <w:rFonts w:hint="eastAsia" w:ascii="仿宋_GB2312" w:hAnsi="仿宋_GB2312" w:eastAsia="仿宋_GB2312" w:cs="仿宋_GB2312"/>
          <w:b/>
          <w:bCs/>
          <w:color w:val="000000"/>
          <w:sz w:val="32"/>
          <w:szCs w:val="32"/>
          <w:lang w:eastAsia="zh-CN"/>
        </w:rPr>
        <w:t>。</w:t>
      </w:r>
      <w:r>
        <w:rPr>
          <w:rStyle w:val="35"/>
          <w:rFonts w:hint="eastAsia" w:ascii="Times New Roman" w:hAnsi="Times New Roman" w:eastAsia="仿宋"/>
          <w:color w:val="000000"/>
          <w:sz w:val="32"/>
          <w:szCs w:val="32"/>
          <w:lang w:eastAsia="zh-CN"/>
        </w:rPr>
        <w:t>星级农贸市场创建</w:t>
      </w:r>
      <w:r>
        <w:rPr>
          <w:rStyle w:val="35"/>
          <w:rFonts w:hint="eastAsia" w:ascii="Times New Roman" w:hAnsi="Times New Roman" w:eastAsia="仿宋"/>
          <w:color w:val="000000"/>
          <w:sz w:val="32"/>
          <w:szCs w:val="32"/>
        </w:rPr>
        <w:t>专项资金设立于</w:t>
      </w:r>
      <w:r>
        <w:rPr>
          <w:rStyle w:val="35"/>
          <w:rFonts w:hint="eastAsia" w:ascii="Times New Roman" w:hAnsi="Times New Roman" w:eastAsia="仿宋"/>
          <w:color w:val="000000"/>
          <w:sz w:val="32"/>
          <w:szCs w:val="32"/>
          <w:lang w:val="en-US" w:eastAsia="zh-CN"/>
        </w:rPr>
        <w:t>2017</w:t>
      </w:r>
      <w:r>
        <w:rPr>
          <w:rStyle w:val="35"/>
          <w:rFonts w:hint="eastAsia" w:ascii="Times New Roman" w:hAnsi="Times New Roman" w:eastAsia="仿宋"/>
          <w:color w:val="000000"/>
          <w:sz w:val="32"/>
          <w:szCs w:val="32"/>
          <w:lang w:eastAsia="zh-CN"/>
        </w:rPr>
        <w:t>年，项目</w:t>
      </w:r>
      <w:r>
        <w:rPr>
          <w:rStyle w:val="35"/>
          <w:rFonts w:hint="eastAsia" w:ascii="Times New Roman" w:hAnsi="Times New Roman" w:eastAsia="仿宋"/>
          <w:color w:val="000000"/>
          <w:sz w:val="32"/>
          <w:szCs w:val="32"/>
        </w:rPr>
        <w:t>按照规定的程序申请设立</w:t>
      </w:r>
      <w:r>
        <w:rPr>
          <w:rStyle w:val="35"/>
          <w:rFonts w:hint="eastAsia" w:ascii="Times New Roman" w:hAnsi="Times New Roman" w:eastAsia="仿宋"/>
          <w:color w:val="000000"/>
          <w:sz w:val="32"/>
          <w:szCs w:val="32"/>
          <w:lang w:eastAsia="zh-CN"/>
        </w:rPr>
        <w:t>，</w:t>
      </w:r>
      <w:r>
        <w:rPr>
          <w:rStyle w:val="35"/>
          <w:rFonts w:hint="eastAsia" w:ascii="Times New Roman" w:hAnsi="Times New Roman" w:eastAsia="仿宋"/>
          <w:color w:val="000000"/>
          <w:sz w:val="32"/>
          <w:szCs w:val="32"/>
        </w:rPr>
        <w:t>所提交的文件、材料符合相关要求</w:t>
      </w:r>
      <w:r>
        <w:rPr>
          <w:rStyle w:val="35"/>
          <w:rFonts w:hint="eastAsia" w:ascii="Times New Roman" w:hAnsi="Times New Roman" w:eastAsia="仿宋"/>
          <w:color w:val="000000"/>
          <w:sz w:val="32"/>
          <w:szCs w:val="32"/>
          <w:lang w:eastAsia="zh-CN"/>
        </w:rPr>
        <w:t>，事</w:t>
      </w:r>
      <w:r>
        <w:rPr>
          <w:rStyle w:val="35"/>
          <w:rFonts w:hint="eastAsia" w:ascii="Times New Roman" w:hAnsi="Times New Roman" w:eastAsia="仿宋"/>
          <w:color w:val="000000"/>
          <w:sz w:val="32"/>
          <w:szCs w:val="32"/>
        </w:rPr>
        <w:t>前已经过必要的可行性研究、专家论证、集体决策等</w:t>
      </w:r>
      <w:r>
        <w:rPr>
          <w:rStyle w:val="35"/>
          <w:rFonts w:hint="eastAsia" w:ascii="Times New Roman" w:hAnsi="Times New Roman" w:eastAsia="仿宋"/>
          <w:color w:val="000000"/>
          <w:sz w:val="32"/>
          <w:szCs w:val="32"/>
          <w:lang w:eastAsia="zh-CN"/>
        </w:rPr>
        <w:t>程序。</w:t>
      </w:r>
      <w:r>
        <w:rPr>
          <w:rStyle w:val="35"/>
          <w:rFonts w:hint="eastAsia" w:ascii="Times New Roman" w:hAnsi="Times New Roman" w:eastAsia="仿宋" w:cs="宋体"/>
          <w:color w:val="000000"/>
          <w:kern w:val="0"/>
          <w:sz w:val="32"/>
          <w:szCs w:val="32"/>
          <w:lang w:val="en-US" w:eastAsia="zh-CN" w:bidi="ar-SA"/>
        </w:rPr>
        <w:t>该项指标得满分3分。</w:t>
      </w:r>
    </w:p>
    <w:p>
      <w:pPr>
        <w:spacing w:line="600" w:lineRule="exact"/>
        <w:ind w:firstLine="643" w:firstLineChars="200"/>
        <w:rPr>
          <w:rStyle w:val="35"/>
          <w:rFonts w:hint="eastAsia" w:eastAsia="仿宋"/>
          <w:color w:val="000000"/>
          <w:sz w:val="32"/>
          <w:szCs w:val="32"/>
          <w:lang w:val="en-US" w:eastAsia="zh-CN"/>
        </w:rPr>
      </w:pPr>
      <w:r>
        <w:rPr>
          <w:rStyle w:val="35"/>
          <w:rFonts w:hint="eastAsia" w:ascii="仿宋_GB2312" w:hAnsi="仿宋_GB2312" w:eastAsia="仿宋_GB2312" w:cs="仿宋_GB2312"/>
          <w:b/>
          <w:bCs/>
          <w:color w:val="000000"/>
          <w:sz w:val="32"/>
          <w:szCs w:val="32"/>
          <w:lang w:val="en-US" w:eastAsia="zh-CN"/>
        </w:rPr>
        <w:t>3.</w:t>
      </w:r>
      <w:r>
        <w:rPr>
          <w:rStyle w:val="35"/>
          <w:rFonts w:hint="eastAsia" w:ascii="仿宋_GB2312" w:hAnsi="仿宋_GB2312" w:eastAsia="仿宋_GB2312" w:cs="仿宋_GB2312"/>
          <w:b/>
          <w:bCs/>
          <w:color w:val="000000"/>
          <w:sz w:val="32"/>
          <w:szCs w:val="32"/>
        </w:rPr>
        <w:t>绩效目标合理性</w:t>
      </w:r>
      <w:r>
        <w:rPr>
          <w:rStyle w:val="35"/>
          <w:rFonts w:hint="eastAsia" w:ascii="Times New Roman" w:hAnsi="Times New Roman" w:eastAsia="仿宋"/>
          <w:color w:val="000000"/>
          <w:sz w:val="32"/>
          <w:szCs w:val="32"/>
          <w:lang w:eastAsia="zh-CN"/>
        </w:rPr>
        <w:t>。该项目有绩效目标，且绩效目标与实际工作内容相关，项目预期产出效益和效果符合正常的业绩水平，绩效目标与预算确定的项目资金量相匹配。</w:t>
      </w:r>
      <w:r>
        <w:rPr>
          <w:rStyle w:val="35"/>
          <w:rFonts w:hint="eastAsia" w:eastAsia="仿宋"/>
          <w:color w:val="000000"/>
          <w:sz w:val="32"/>
          <w:szCs w:val="32"/>
          <w:lang w:eastAsia="zh-CN"/>
        </w:rPr>
        <w:t>该项指标得满分</w:t>
      </w:r>
      <w:r>
        <w:rPr>
          <w:rStyle w:val="35"/>
          <w:rFonts w:hint="eastAsia" w:eastAsia="仿宋"/>
          <w:color w:val="000000"/>
          <w:sz w:val="32"/>
          <w:szCs w:val="32"/>
          <w:lang w:val="en-US" w:eastAsia="zh-CN"/>
        </w:rPr>
        <w:t>3分。</w:t>
      </w:r>
    </w:p>
    <w:p>
      <w:pPr>
        <w:spacing w:line="600" w:lineRule="exact"/>
        <w:ind w:firstLine="643" w:firstLineChars="200"/>
        <w:rPr>
          <w:rStyle w:val="35"/>
          <w:rFonts w:hint="eastAsia" w:eastAsia="仿宋"/>
          <w:color w:val="000000"/>
          <w:sz w:val="32"/>
          <w:szCs w:val="32"/>
          <w:lang w:val="en-US" w:eastAsia="zh-CN"/>
        </w:rPr>
      </w:pPr>
      <w:r>
        <w:rPr>
          <w:rStyle w:val="35"/>
          <w:rFonts w:hint="eastAsia" w:ascii="仿宋_GB2312" w:hAnsi="仿宋_GB2312" w:eastAsia="仿宋_GB2312" w:cs="仿宋_GB2312"/>
          <w:b/>
          <w:bCs/>
          <w:color w:val="000000"/>
          <w:sz w:val="32"/>
          <w:szCs w:val="32"/>
          <w:lang w:val="en-US" w:eastAsia="zh-CN"/>
        </w:rPr>
        <w:t>4.</w:t>
      </w:r>
      <w:r>
        <w:rPr>
          <w:rStyle w:val="35"/>
          <w:rFonts w:hint="eastAsia" w:ascii="仿宋_GB2312" w:hAnsi="仿宋_GB2312" w:eastAsia="仿宋_GB2312" w:cs="仿宋_GB2312"/>
          <w:b/>
          <w:bCs/>
          <w:color w:val="000000"/>
          <w:sz w:val="32"/>
          <w:szCs w:val="32"/>
        </w:rPr>
        <w:t>绩效指标明确性</w:t>
      </w:r>
      <w:r>
        <w:rPr>
          <w:rStyle w:val="35"/>
          <w:rFonts w:hint="eastAsia" w:ascii="仿宋_GB2312" w:hAnsi="仿宋_GB2312" w:eastAsia="仿宋_GB2312" w:cs="仿宋_GB2312"/>
          <w:b/>
          <w:bCs/>
          <w:color w:val="000000"/>
          <w:sz w:val="32"/>
          <w:szCs w:val="32"/>
          <w:lang w:eastAsia="zh-CN"/>
        </w:rPr>
        <w:t>。</w:t>
      </w:r>
      <w:r>
        <w:rPr>
          <w:rStyle w:val="35"/>
          <w:rFonts w:hint="eastAsia" w:ascii="仿宋_GB2312" w:hAnsi="仿宋_GB2312" w:eastAsia="仿宋_GB2312" w:cs="仿宋_GB2312"/>
          <w:b w:val="0"/>
          <w:bCs w:val="0"/>
          <w:color w:val="000000"/>
          <w:sz w:val="32"/>
          <w:szCs w:val="32"/>
          <w:lang w:eastAsia="zh-CN"/>
        </w:rPr>
        <w:t>该项目已将绩效目标细化分解为具体的绩效指标，细化指标值清晰、可衡量并与项目年度任务数相对应。该项指标得满分</w:t>
      </w:r>
      <w:r>
        <w:rPr>
          <w:rStyle w:val="35"/>
          <w:rFonts w:hint="eastAsia" w:ascii="仿宋_GB2312" w:hAnsi="仿宋_GB2312" w:eastAsia="仿宋_GB2312" w:cs="仿宋_GB2312"/>
          <w:b w:val="0"/>
          <w:bCs w:val="0"/>
          <w:color w:val="000000"/>
          <w:sz w:val="32"/>
          <w:szCs w:val="32"/>
          <w:lang w:val="en-US" w:eastAsia="zh-CN"/>
        </w:rPr>
        <w:t>3分</w:t>
      </w:r>
      <w:r>
        <w:rPr>
          <w:rStyle w:val="35"/>
          <w:rFonts w:hint="eastAsia" w:eastAsia="仿宋"/>
          <w:color w:val="000000"/>
          <w:sz w:val="32"/>
          <w:szCs w:val="32"/>
          <w:lang w:val="en-US" w:eastAsia="zh-CN"/>
        </w:rPr>
        <w:t>。</w:t>
      </w:r>
    </w:p>
    <w:p>
      <w:pPr>
        <w:spacing w:line="600" w:lineRule="exact"/>
        <w:ind w:firstLine="643" w:firstLineChars="200"/>
        <w:rPr>
          <w:rStyle w:val="35"/>
          <w:rFonts w:hint="eastAsia" w:ascii="仿宋_GB2312" w:hAnsi="仿宋_GB2312" w:eastAsia="仿宋_GB2312" w:cs="仿宋_GB2312"/>
          <w:color w:val="000000"/>
          <w:sz w:val="32"/>
          <w:szCs w:val="32"/>
          <w:lang w:val="en-US" w:eastAsia="zh-CN"/>
        </w:rPr>
      </w:pPr>
      <w:r>
        <w:rPr>
          <w:rStyle w:val="35"/>
          <w:rFonts w:hint="eastAsia" w:ascii="仿宋_GB2312" w:hAnsi="仿宋_GB2312" w:eastAsia="仿宋_GB2312" w:cs="仿宋_GB2312"/>
          <w:b/>
          <w:bCs/>
          <w:color w:val="000000"/>
          <w:sz w:val="32"/>
          <w:szCs w:val="32"/>
          <w:lang w:val="en-US" w:eastAsia="zh-CN"/>
        </w:rPr>
        <w:t>5.</w:t>
      </w:r>
      <w:r>
        <w:rPr>
          <w:rStyle w:val="35"/>
          <w:rFonts w:hint="eastAsia" w:ascii="仿宋_GB2312" w:hAnsi="仿宋_GB2312" w:eastAsia="仿宋_GB2312" w:cs="仿宋_GB2312"/>
          <w:b/>
          <w:bCs/>
          <w:color w:val="000000"/>
          <w:sz w:val="32"/>
          <w:szCs w:val="32"/>
        </w:rPr>
        <w:t>预算编制科学性</w:t>
      </w:r>
      <w:r>
        <w:rPr>
          <w:rStyle w:val="35"/>
          <w:rFonts w:hint="eastAsia" w:ascii="仿宋_GB2312" w:hAnsi="仿宋_GB2312" w:eastAsia="仿宋_GB2312" w:cs="仿宋_GB2312"/>
          <w:b w:val="0"/>
          <w:bCs w:val="0"/>
          <w:color w:val="000000"/>
          <w:sz w:val="32"/>
          <w:szCs w:val="32"/>
          <w:lang w:eastAsia="zh-CN"/>
        </w:rPr>
        <w:t>。该项目预算编制经过科学论证，预算</w:t>
      </w:r>
      <w:r>
        <w:rPr>
          <w:rStyle w:val="35"/>
          <w:rFonts w:hint="eastAsia" w:ascii="仿宋_GB2312" w:hAnsi="仿宋_GB2312" w:eastAsia="仿宋_GB2312" w:cs="仿宋_GB2312"/>
          <w:color w:val="000000"/>
          <w:sz w:val="32"/>
          <w:szCs w:val="32"/>
          <w:lang w:eastAsia="zh-CN"/>
        </w:rPr>
        <w:t>内容与项目内容匹配，预算额度测算依据充分，预算确定的资金量与工作任务基本匹配。</w:t>
      </w:r>
      <w:r>
        <w:rPr>
          <w:rStyle w:val="35"/>
          <w:rFonts w:hint="eastAsia" w:ascii="仿宋_GB2312" w:hAnsi="仿宋_GB2312" w:eastAsia="仿宋_GB2312" w:cs="仿宋_GB2312"/>
          <w:b w:val="0"/>
          <w:bCs w:val="0"/>
          <w:color w:val="000000"/>
          <w:sz w:val="32"/>
          <w:szCs w:val="32"/>
          <w:lang w:eastAsia="zh-CN"/>
        </w:rPr>
        <w:t>该项指标得满分</w:t>
      </w:r>
      <w:r>
        <w:rPr>
          <w:rStyle w:val="35"/>
          <w:rFonts w:hint="eastAsia" w:ascii="仿宋_GB2312" w:hAnsi="仿宋_GB2312" w:eastAsia="仿宋_GB2312" w:cs="仿宋_GB2312"/>
          <w:b w:val="0"/>
          <w:bCs w:val="0"/>
          <w:color w:val="000000"/>
          <w:sz w:val="32"/>
          <w:szCs w:val="32"/>
          <w:lang w:val="en-US" w:eastAsia="zh-CN"/>
        </w:rPr>
        <w:t>4分</w:t>
      </w:r>
      <w:r>
        <w:rPr>
          <w:rStyle w:val="35"/>
          <w:rFonts w:hint="eastAsia" w:ascii="仿宋_GB2312" w:hAnsi="仿宋_GB2312" w:eastAsia="仿宋_GB2312" w:cs="仿宋_GB2312"/>
          <w:color w:val="000000"/>
          <w:sz w:val="32"/>
          <w:szCs w:val="32"/>
          <w:lang w:val="en-US" w:eastAsia="zh-CN"/>
        </w:rPr>
        <w:t>。</w:t>
      </w:r>
    </w:p>
    <w:p>
      <w:pPr>
        <w:wordWrap/>
        <w:spacing w:line="560" w:lineRule="exact"/>
        <w:ind w:left="0" w:leftChars="0" w:right="0" w:firstLine="643" w:firstLineChars="200"/>
        <w:textAlignment w:val="auto"/>
        <w:rPr>
          <w:rFonts w:ascii="仿宋_GB2312" w:eastAsia="仿宋_GB2312"/>
          <w:sz w:val="32"/>
          <w:szCs w:val="32"/>
        </w:rPr>
      </w:pPr>
      <w:r>
        <w:rPr>
          <w:rStyle w:val="35"/>
          <w:rFonts w:hint="eastAsia" w:ascii="仿宋_GB2312" w:hAnsi="仿宋_GB2312" w:eastAsia="仿宋_GB2312" w:cs="仿宋_GB2312"/>
          <w:b/>
          <w:bCs/>
          <w:color w:val="000000"/>
          <w:sz w:val="32"/>
          <w:szCs w:val="32"/>
          <w:lang w:val="en-US" w:eastAsia="zh-CN"/>
        </w:rPr>
        <w:t>6.</w:t>
      </w:r>
      <w:r>
        <w:rPr>
          <w:rStyle w:val="35"/>
          <w:rFonts w:hint="eastAsia" w:ascii="仿宋_GB2312" w:hAnsi="仿宋_GB2312" w:eastAsia="仿宋_GB2312" w:cs="仿宋_GB2312"/>
          <w:b/>
          <w:bCs/>
          <w:color w:val="000000"/>
          <w:sz w:val="32"/>
          <w:szCs w:val="32"/>
        </w:rPr>
        <w:t>资金分配合理性</w:t>
      </w:r>
      <w:r>
        <w:rPr>
          <w:rStyle w:val="35"/>
          <w:rFonts w:hint="eastAsia" w:ascii="仿宋_GB2312" w:hAnsi="仿宋_GB2312" w:eastAsia="仿宋_GB2312" w:cs="仿宋_GB2312"/>
          <w:b/>
          <w:bCs/>
          <w:color w:val="000000"/>
          <w:sz w:val="32"/>
          <w:szCs w:val="32"/>
          <w:lang w:eastAsia="zh-CN"/>
        </w:rPr>
        <w:t>。</w:t>
      </w:r>
      <w:bookmarkStart w:id="6" w:name="_Toc52359438"/>
      <w:r>
        <w:rPr>
          <w:rStyle w:val="35"/>
          <w:rFonts w:hint="eastAsia" w:ascii="仿宋_GB2312" w:hAnsi="仿宋_GB2312" w:eastAsia="仿宋_GB2312" w:cs="仿宋_GB2312"/>
          <w:color w:val="000000"/>
          <w:sz w:val="32"/>
          <w:szCs w:val="32"/>
          <w:lang w:eastAsia="zh-CN"/>
        </w:rPr>
        <w:t>项目</w:t>
      </w:r>
      <w:r>
        <w:rPr>
          <w:rStyle w:val="35"/>
          <w:rFonts w:hint="eastAsia" w:ascii="仿宋_GB2312" w:hAnsi="仿宋_GB2312" w:eastAsia="仿宋_GB2312" w:cs="仿宋_GB2312"/>
          <w:sz w:val="32"/>
          <w:szCs w:val="32"/>
        </w:rPr>
        <w:t>资金分配有测算依据</w:t>
      </w:r>
      <w:r>
        <w:rPr>
          <w:rStyle w:val="35"/>
          <w:rFonts w:hint="eastAsia" w:ascii="仿宋_GB2312" w:hAnsi="仿宋_GB2312" w:eastAsia="仿宋_GB2312" w:cs="仿宋_GB2312"/>
          <w:sz w:val="32"/>
          <w:szCs w:val="32"/>
          <w:lang w:eastAsia="zh-CN"/>
        </w:rPr>
        <w:t>，</w:t>
      </w:r>
      <w:r>
        <w:rPr>
          <w:rStyle w:val="35"/>
          <w:rFonts w:hint="eastAsia" w:ascii="仿宋_GB2312" w:hAnsi="仿宋_GB2312" w:eastAsia="仿宋_GB2312" w:cs="仿宋_GB2312"/>
          <w:sz w:val="32"/>
          <w:szCs w:val="32"/>
        </w:rPr>
        <w:t>预算安排内容与专项资金的设立目的及年度工作重点的匹配程度判断，</w:t>
      </w:r>
      <w:r>
        <w:rPr>
          <w:rStyle w:val="35"/>
          <w:rFonts w:hint="eastAsia" w:ascii="仿宋_GB2312" w:hAnsi="仿宋_GB2312" w:eastAsia="仿宋_GB2312" w:cs="仿宋_GB2312"/>
          <w:sz w:val="32"/>
          <w:szCs w:val="32"/>
          <w:lang w:eastAsia="zh-CN"/>
        </w:rPr>
        <w:t>资金分配未涉及农贸市场的面积、工作量等因素，</w:t>
      </w:r>
      <w:r>
        <w:rPr>
          <w:rFonts w:hint="eastAsia" w:ascii="仿宋_GB2312" w:eastAsia="仿宋_GB2312"/>
          <w:sz w:val="32"/>
          <w:szCs w:val="32"/>
        </w:rPr>
        <w:t>因此</w:t>
      </w:r>
      <w:r>
        <w:rPr>
          <w:rFonts w:hint="eastAsia" w:ascii="仿宋_GB2312" w:eastAsia="仿宋_GB2312"/>
          <w:sz w:val="32"/>
          <w:szCs w:val="32"/>
          <w:lang w:eastAsia="zh-CN"/>
        </w:rPr>
        <w:t>该项</w:t>
      </w:r>
      <w:r>
        <w:rPr>
          <w:rFonts w:ascii="仿宋_GB2312" w:eastAsia="仿宋_GB2312"/>
          <w:sz w:val="32"/>
          <w:szCs w:val="32"/>
        </w:rPr>
        <w:t>指标扣1分，得</w:t>
      </w:r>
      <w:r>
        <w:rPr>
          <w:rFonts w:hint="eastAsia" w:ascii="仿宋_GB2312" w:eastAsia="仿宋_GB2312"/>
          <w:sz w:val="32"/>
          <w:szCs w:val="32"/>
          <w:lang w:val="en-US" w:eastAsia="zh-CN"/>
        </w:rPr>
        <w:t>3</w:t>
      </w:r>
      <w:r>
        <w:rPr>
          <w:rFonts w:ascii="仿宋_GB2312" w:eastAsia="仿宋_GB2312"/>
          <w:sz w:val="32"/>
          <w:szCs w:val="32"/>
        </w:rPr>
        <w:t>分。</w:t>
      </w:r>
    </w:p>
    <w:p>
      <w:pPr>
        <w:pStyle w:val="25"/>
        <w:ind w:firstLine="480"/>
        <w:rPr>
          <w:rStyle w:val="35"/>
          <w:rFonts w:hint="eastAsia"/>
          <w:color w:val="000000"/>
          <w:lang w:eastAsia="zh-CN"/>
        </w:rPr>
      </w:pPr>
      <w:r>
        <w:rPr>
          <w:rStyle w:val="35"/>
          <w:rFonts w:hint="eastAsia"/>
          <w:color w:val="000000"/>
          <w:lang w:eastAsia="zh-CN"/>
        </w:rPr>
        <w:t>（二）项目过程情况</w:t>
      </w:r>
    </w:p>
    <w:p>
      <w:pPr>
        <w:spacing w:line="600" w:lineRule="exact"/>
        <w:ind w:firstLine="643" w:firstLineChars="200"/>
        <w:rPr>
          <w:rStyle w:val="35"/>
          <w:rFonts w:hint="eastAsia" w:ascii="仿宋_GB2312" w:hAnsi="仿宋_GB2312" w:eastAsia="仿宋_GB2312" w:cs="仿宋_GB2312"/>
          <w:b/>
          <w:bCs/>
          <w:kern w:val="0"/>
          <w:sz w:val="32"/>
          <w:szCs w:val="32"/>
          <w:lang w:val="en-US" w:eastAsia="zh-CN" w:bidi="ar-SA"/>
        </w:rPr>
      </w:pPr>
      <w:r>
        <w:rPr>
          <w:rStyle w:val="35"/>
          <w:rFonts w:hint="eastAsia" w:ascii="仿宋_GB2312" w:hAnsi="仿宋_GB2312" w:eastAsia="仿宋_GB2312" w:cs="仿宋_GB2312"/>
          <w:b/>
          <w:bCs/>
          <w:kern w:val="0"/>
          <w:sz w:val="32"/>
          <w:szCs w:val="32"/>
          <w:lang w:val="en-US" w:eastAsia="zh-CN" w:bidi="ar-SA"/>
        </w:rPr>
        <w:t>1.</w:t>
      </w:r>
      <w:bookmarkEnd w:id="6"/>
      <w:r>
        <w:rPr>
          <w:rStyle w:val="35"/>
          <w:rFonts w:hint="eastAsia" w:ascii="仿宋_GB2312" w:hAnsi="仿宋_GB2312" w:eastAsia="仿宋_GB2312" w:cs="仿宋_GB2312"/>
          <w:b/>
          <w:bCs/>
          <w:kern w:val="0"/>
          <w:sz w:val="32"/>
          <w:szCs w:val="32"/>
          <w:lang w:val="en-US" w:eastAsia="zh-CN" w:bidi="ar-SA"/>
        </w:rPr>
        <w:t>资金到位率。</w:t>
      </w:r>
      <w:r>
        <w:rPr>
          <w:rStyle w:val="35"/>
          <w:rFonts w:hint="eastAsia" w:ascii="仿宋_GB2312" w:hAnsi="仿宋_GB2312" w:eastAsia="仿宋_GB2312" w:cs="仿宋_GB2312"/>
          <w:kern w:val="0"/>
          <w:sz w:val="32"/>
          <w:szCs w:val="32"/>
          <w:lang w:val="en-US" w:eastAsia="zh-CN" w:bidi="ar-SA"/>
        </w:rPr>
        <w:t>2020年星级农贸市场创建</w:t>
      </w:r>
      <w:r>
        <w:rPr>
          <w:rFonts w:hint="eastAsia" w:ascii="仿宋_GB2312" w:eastAsia="仿宋_GB2312"/>
          <w:sz w:val="32"/>
          <w:szCs w:val="32"/>
          <w:lang w:val="en-US" w:eastAsia="zh-CN"/>
        </w:rPr>
        <w:t>综合奖补专项</w:t>
      </w:r>
      <w:r>
        <w:rPr>
          <w:rStyle w:val="35"/>
          <w:rFonts w:hint="eastAsia" w:ascii="仿宋_GB2312" w:hAnsi="仿宋_GB2312" w:eastAsia="仿宋_GB2312" w:cs="仿宋_GB2312"/>
          <w:kern w:val="0"/>
          <w:sz w:val="32"/>
          <w:szCs w:val="32"/>
          <w:lang w:val="en-US" w:eastAsia="zh-CN" w:bidi="ar-SA"/>
        </w:rPr>
        <w:t>资金预算2240万元，实际到位1970万元，资金到位率87.95%，</w:t>
      </w:r>
      <w:r>
        <w:rPr>
          <w:rFonts w:hint="eastAsia" w:ascii="仿宋_GB2312" w:eastAsia="仿宋_GB2312"/>
          <w:sz w:val="32"/>
          <w:szCs w:val="32"/>
        </w:rPr>
        <w:t>因此</w:t>
      </w:r>
      <w:r>
        <w:rPr>
          <w:rFonts w:hint="eastAsia" w:ascii="仿宋_GB2312" w:eastAsia="仿宋_GB2312"/>
          <w:sz w:val="32"/>
          <w:szCs w:val="32"/>
          <w:lang w:eastAsia="zh-CN"/>
        </w:rPr>
        <w:t>该项</w:t>
      </w:r>
      <w:r>
        <w:rPr>
          <w:rFonts w:ascii="仿宋_GB2312" w:eastAsia="仿宋_GB2312"/>
          <w:sz w:val="32"/>
          <w:szCs w:val="32"/>
        </w:rPr>
        <w:t>指标扣</w:t>
      </w:r>
      <w:r>
        <w:rPr>
          <w:rFonts w:hint="eastAsia" w:ascii="仿宋_GB2312" w:eastAsia="仿宋_GB2312"/>
          <w:sz w:val="32"/>
          <w:szCs w:val="32"/>
          <w:lang w:val="en-US" w:eastAsia="zh-CN"/>
        </w:rPr>
        <w:t>1.25</w:t>
      </w:r>
      <w:r>
        <w:rPr>
          <w:rFonts w:ascii="仿宋_GB2312" w:eastAsia="仿宋_GB2312"/>
          <w:sz w:val="32"/>
          <w:szCs w:val="32"/>
        </w:rPr>
        <w:t>分，得</w:t>
      </w:r>
      <w:r>
        <w:rPr>
          <w:rFonts w:hint="eastAsia" w:ascii="仿宋_GB2312" w:eastAsia="仿宋_GB2312"/>
          <w:sz w:val="32"/>
          <w:szCs w:val="32"/>
          <w:lang w:val="en-US" w:eastAsia="zh-CN"/>
        </w:rPr>
        <w:t>0.75</w:t>
      </w:r>
      <w:r>
        <w:rPr>
          <w:rFonts w:ascii="仿宋_GB2312" w:eastAsia="仿宋_GB2312"/>
          <w:sz w:val="32"/>
          <w:szCs w:val="32"/>
        </w:rPr>
        <w:t>分。</w:t>
      </w:r>
    </w:p>
    <w:p>
      <w:pPr>
        <w:spacing w:line="600" w:lineRule="exact"/>
        <w:ind w:firstLine="643" w:firstLineChars="200"/>
        <w:rPr>
          <w:rStyle w:val="35"/>
          <w:rFonts w:hint="eastAsia" w:ascii="仿宋_GB2312" w:hAnsi="仿宋_GB2312" w:eastAsia="仿宋_GB2312" w:cs="仿宋_GB2312"/>
          <w:kern w:val="0"/>
          <w:sz w:val="32"/>
          <w:szCs w:val="32"/>
          <w:lang w:val="en-US" w:eastAsia="zh-CN" w:bidi="ar-SA"/>
        </w:rPr>
      </w:pPr>
      <w:r>
        <w:rPr>
          <w:rStyle w:val="35"/>
          <w:rFonts w:hint="eastAsia" w:ascii="仿宋_GB2312" w:hAnsi="仿宋_GB2312" w:eastAsia="仿宋_GB2312" w:cs="仿宋_GB2312"/>
          <w:b/>
          <w:bCs/>
          <w:kern w:val="0"/>
          <w:sz w:val="32"/>
          <w:szCs w:val="32"/>
          <w:lang w:val="en-US" w:eastAsia="zh-CN" w:bidi="ar-SA"/>
        </w:rPr>
        <w:t>2.预算执行率</w:t>
      </w:r>
      <w:r>
        <w:rPr>
          <w:rStyle w:val="35"/>
          <w:rFonts w:hint="eastAsia" w:ascii="仿宋_GB2312" w:hAnsi="仿宋_GB2312" w:eastAsia="仿宋_GB2312" w:cs="仿宋_GB2312"/>
          <w:kern w:val="0"/>
          <w:sz w:val="32"/>
          <w:szCs w:val="32"/>
          <w:lang w:val="en-US" w:eastAsia="zh-CN" w:bidi="ar-SA"/>
        </w:rPr>
        <w:t>。2020年星级农贸市场创建</w:t>
      </w:r>
      <w:r>
        <w:rPr>
          <w:rFonts w:hint="eastAsia" w:ascii="仿宋_GB2312" w:eastAsia="仿宋_GB2312"/>
          <w:sz w:val="32"/>
          <w:szCs w:val="32"/>
          <w:lang w:val="en-US" w:eastAsia="zh-CN"/>
        </w:rPr>
        <w:t>综合奖补专项</w:t>
      </w:r>
      <w:r>
        <w:rPr>
          <w:rStyle w:val="35"/>
          <w:rFonts w:hint="eastAsia" w:ascii="仿宋_GB2312" w:hAnsi="仿宋_GB2312" w:eastAsia="仿宋_GB2312" w:cs="仿宋_GB2312"/>
          <w:kern w:val="0"/>
          <w:sz w:val="32"/>
          <w:szCs w:val="32"/>
          <w:lang w:val="en-US" w:eastAsia="zh-CN" w:bidi="ar-SA"/>
        </w:rPr>
        <w:t>资金预算2240万元，实际使用1970万元，预算执行率为87.95%。</w:t>
      </w:r>
      <w:r>
        <w:rPr>
          <w:rFonts w:hint="eastAsia" w:ascii="仿宋_GB2312" w:eastAsia="仿宋_GB2312"/>
          <w:sz w:val="32"/>
          <w:szCs w:val="32"/>
        </w:rPr>
        <w:t>因此</w:t>
      </w:r>
      <w:r>
        <w:rPr>
          <w:rFonts w:hint="eastAsia" w:ascii="仿宋_GB2312" w:eastAsia="仿宋_GB2312"/>
          <w:sz w:val="32"/>
          <w:szCs w:val="32"/>
          <w:lang w:eastAsia="zh-CN"/>
        </w:rPr>
        <w:t>该项</w:t>
      </w:r>
      <w:r>
        <w:rPr>
          <w:rFonts w:ascii="仿宋_GB2312" w:eastAsia="仿宋_GB2312"/>
          <w:sz w:val="32"/>
          <w:szCs w:val="32"/>
        </w:rPr>
        <w:t>指标扣</w:t>
      </w:r>
      <w:r>
        <w:rPr>
          <w:rFonts w:hint="eastAsia" w:ascii="仿宋_GB2312" w:eastAsia="仿宋_GB2312"/>
          <w:sz w:val="32"/>
          <w:szCs w:val="32"/>
          <w:lang w:val="en-US" w:eastAsia="zh-CN"/>
        </w:rPr>
        <w:t>1.25</w:t>
      </w:r>
      <w:r>
        <w:rPr>
          <w:rFonts w:ascii="仿宋_GB2312" w:eastAsia="仿宋_GB2312"/>
          <w:sz w:val="32"/>
          <w:szCs w:val="32"/>
        </w:rPr>
        <w:t>分，得</w:t>
      </w:r>
      <w:r>
        <w:rPr>
          <w:rFonts w:hint="eastAsia" w:ascii="仿宋_GB2312" w:eastAsia="仿宋_GB2312"/>
          <w:sz w:val="32"/>
          <w:szCs w:val="32"/>
          <w:lang w:val="en-US" w:eastAsia="zh-CN"/>
        </w:rPr>
        <w:t>0.75</w:t>
      </w:r>
      <w:r>
        <w:rPr>
          <w:rFonts w:ascii="仿宋_GB2312" w:eastAsia="仿宋_GB2312"/>
          <w:sz w:val="32"/>
          <w:szCs w:val="32"/>
        </w:rPr>
        <w:t>分。</w:t>
      </w:r>
    </w:p>
    <w:p>
      <w:pPr>
        <w:spacing w:line="600" w:lineRule="exact"/>
        <w:ind w:firstLine="643" w:firstLineChars="200"/>
        <w:rPr>
          <w:rStyle w:val="35"/>
          <w:rFonts w:hint="eastAsia" w:ascii="仿宋_GB2312" w:hAnsi="仿宋_GB2312" w:eastAsia="仿宋_GB2312" w:cs="仿宋_GB2312"/>
          <w:kern w:val="0"/>
          <w:sz w:val="32"/>
          <w:szCs w:val="32"/>
          <w:lang w:val="en-US" w:eastAsia="zh-CN" w:bidi="ar-SA"/>
        </w:rPr>
      </w:pPr>
      <w:r>
        <w:rPr>
          <w:rStyle w:val="35"/>
          <w:rFonts w:hint="eastAsia" w:ascii="仿宋_GB2312" w:hAnsi="仿宋_GB2312" w:eastAsia="仿宋_GB2312" w:cs="仿宋_GB2312"/>
          <w:b/>
          <w:bCs/>
          <w:kern w:val="0"/>
          <w:sz w:val="32"/>
          <w:szCs w:val="32"/>
          <w:lang w:val="en-US" w:eastAsia="zh-CN" w:bidi="ar-SA"/>
        </w:rPr>
        <w:t>3.资金使用合规性</w:t>
      </w:r>
      <w:r>
        <w:rPr>
          <w:rStyle w:val="35"/>
          <w:rFonts w:hint="eastAsia" w:ascii="仿宋_GB2312" w:hAnsi="仿宋_GB2312" w:eastAsia="仿宋_GB2312" w:cs="仿宋_GB2312"/>
          <w:kern w:val="0"/>
          <w:sz w:val="32"/>
          <w:szCs w:val="32"/>
          <w:lang w:val="en-US" w:eastAsia="zh-CN" w:bidi="ar-SA"/>
        </w:rPr>
        <w:t>。该项资金在使用过程中符合国家财经法规和财务管理制度以及有关专项资金管理办法的规定，资金的拨付有完整的审批程序和手续，符合项目预算批复或合同规定的用途，不存在截留、挤占、挪用、虚列支出等情况。该项指标得满分4分。</w:t>
      </w:r>
    </w:p>
    <w:p>
      <w:pPr>
        <w:spacing w:line="600" w:lineRule="exact"/>
        <w:ind w:firstLine="643" w:firstLineChars="200"/>
        <w:rPr>
          <w:rStyle w:val="35"/>
          <w:rFonts w:hint="eastAsia" w:ascii="仿宋_GB2312" w:hAnsi="仿宋_GB2312" w:eastAsia="仿宋_GB2312" w:cs="仿宋_GB2312"/>
          <w:kern w:val="0"/>
          <w:sz w:val="32"/>
          <w:szCs w:val="32"/>
          <w:lang w:val="en-US" w:eastAsia="zh-CN" w:bidi="ar-SA"/>
        </w:rPr>
      </w:pPr>
      <w:r>
        <w:rPr>
          <w:rStyle w:val="35"/>
          <w:rFonts w:hint="eastAsia" w:ascii="仿宋_GB2312" w:hAnsi="仿宋_GB2312" w:eastAsia="仿宋_GB2312" w:cs="仿宋_GB2312"/>
          <w:b/>
          <w:bCs/>
          <w:kern w:val="0"/>
          <w:sz w:val="32"/>
          <w:szCs w:val="32"/>
          <w:lang w:val="en-US" w:eastAsia="zh-CN" w:bidi="ar-SA"/>
        </w:rPr>
        <w:t>4.管理制度健全性。</w:t>
      </w:r>
      <w:r>
        <w:rPr>
          <w:rStyle w:val="35"/>
          <w:rFonts w:hint="eastAsia" w:ascii="仿宋_GB2312" w:hAnsi="仿宋_GB2312" w:eastAsia="仿宋_GB2312" w:cs="仿宋_GB2312"/>
          <w:kern w:val="0"/>
          <w:sz w:val="32"/>
          <w:szCs w:val="32"/>
          <w:lang w:val="en-US" w:eastAsia="zh-CN" w:bidi="ar-SA"/>
        </w:rPr>
        <w:t>该项目已建立基本的业务管理制度，业务管理制度合法、合规。执行中按照局财务管理制度要求，财务管理制度合法、合规、完整。该项指标得满分6分。</w:t>
      </w:r>
    </w:p>
    <w:p>
      <w:pPr>
        <w:spacing w:line="600" w:lineRule="exact"/>
        <w:ind w:firstLine="643" w:firstLineChars="200"/>
        <w:rPr>
          <w:rStyle w:val="35"/>
          <w:rFonts w:hint="eastAsia" w:ascii="仿宋_GB2312" w:hAnsi="仿宋_GB2312" w:eastAsia="仿宋_GB2312" w:cs="仿宋_GB2312"/>
          <w:color w:val="000000"/>
          <w:sz w:val="32"/>
          <w:szCs w:val="32"/>
          <w:lang w:eastAsia="zh-CN"/>
        </w:rPr>
      </w:pPr>
      <w:r>
        <w:rPr>
          <w:rStyle w:val="35"/>
          <w:rFonts w:hint="eastAsia" w:ascii="仿宋_GB2312" w:hAnsi="仿宋_GB2312" w:eastAsia="仿宋_GB2312" w:cs="仿宋_GB2312"/>
          <w:b/>
          <w:bCs/>
          <w:color w:val="000000"/>
          <w:sz w:val="32"/>
          <w:szCs w:val="32"/>
          <w:lang w:val="en-US" w:eastAsia="zh-CN"/>
        </w:rPr>
        <w:t>5.</w:t>
      </w:r>
      <w:r>
        <w:rPr>
          <w:rStyle w:val="35"/>
          <w:rFonts w:hint="eastAsia" w:ascii="仿宋_GB2312" w:hAnsi="仿宋_GB2312" w:eastAsia="仿宋_GB2312" w:cs="仿宋_GB2312"/>
          <w:b/>
          <w:bCs/>
          <w:color w:val="000000"/>
          <w:sz w:val="32"/>
          <w:szCs w:val="32"/>
        </w:rPr>
        <w:t>制度执行有效性</w:t>
      </w:r>
      <w:r>
        <w:rPr>
          <w:rStyle w:val="35"/>
          <w:rFonts w:hint="eastAsia" w:ascii="仿宋_GB2312" w:hAnsi="仿宋_GB2312" w:eastAsia="仿宋_GB2312" w:cs="仿宋_GB2312"/>
          <w:color w:val="000000"/>
          <w:sz w:val="32"/>
          <w:szCs w:val="32"/>
          <w:lang w:eastAsia="zh-CN"/>
        </w:rPr>
        <w:t>。该项目遵守相关法律法规和相关管理规定，项目调整及支出调整手续完备，项目合同书、验收报告、技术鉴定等资料齐全并及时归档，组织调度、协同推进等相关机制落实到位。但项目实施的人员条件、场地设备、信息支撑等落实不完全到位，个别农贸市场</w:t>
      </w:r>
      <w:r>
        <w:rPr>
          <w:rFonts w:ascii="仿宋_GB2312" w:eastAsia="仿宋_GB2312"/>
          <w:sz w:val="32"/>
          <w:szCs w:val="32"/>
        </w:rPr>
        <w:t>反映第三方测评的测评时间、测评标准等因素对最终得分的影响较大，其公平性和合理性有待提升</w:t>
      </w:r>
      <w:r>
        <w:rPr>
          <w:rFonts w:hint="eastAsia" w:ascii="仿宋_GB2312" w:eastAsia="仿宋_GB2312"/>
          <w:sz w:val="32"/>
          <w:szCs w:val="32"/>
          <w:lang w:val="en-US" w:eastAsia="zh-CN"/>
        </w:rPr>
        <w:t>。市北、即墨区区级奖补资金未完成发放，项目组织调度、协同推进等相关机制落实不到位。</w:t>
      </w:r>
      <w:r>
        <w:rPr>
          <w:rFonts w:hint="eastAsia" w:ascii="仿宋_GB2312" w:eastAsia="仿宋_GB2312"/>
          <w:sz w:val="32"/>
          <w:szCs w:val="32"/>
        </w:rPr>
        <w:t>因此</w:t>
      </w:r>
      <w:r>
        <w:rPr>
          <w:rFonts w:hint="eastAsia" w:ascii="仿宋_GB2312" w:eastAsia="仿宋_GB2312"/>
          <w:sz w:val="32"/>
          <w:szCs w:val="32"/>
          <w:lang w:eastAsia="zh-CN"/>
        </w:rPr>
        <w:t>该项</w:t>
      </w:r>
      <w:r>
        <w:rPr>
          <w:rFonts w:ascii="仿宋_GB2312" w:eastAsia="仿宋_GB2312"/>
          <w:sz w:val="32"/>
          <w:szCs w:val="32"/>
        </w:rPr>
        <w:t>指标扣</w:t>
      </w:r>
      <w:r>
        <w:rPr>
          <w:rFonts w:hint="eastAsia" w:ascii="仿宋_GB2312" w:eastAsia="仿宋_GB2312"/>
          <w:sz w:val="32"/>
          <w:szCs w:val="32"/>
          <w:lang w:val="en-US" w:eastAsia="zh-CN"/>
        </w:rPr>
        <w:t>2.4</w:t>
      </w:r>
      <w:r>
        <w:rPr>
          <w:rFonts w:ascii="仿宋_GB2312" w:eastAsia="仿宋_GB2312"/>
          <w:sz w:val="32"/>
          <w:szCs w:val="32"/>
        </w:rPr>
        <w:t>分，得</w:t>
      </w:r>
      <w:r>
        <w:rPr>
          <w:rFonts w:hint="eastAsia" w:ascii="仿宋_GB2312" w:eastAsia="仿宋_GB2312"/>
          <w:sz w:val="32"/>
          <w:szCs w:val="32"/>
          <w:lang w:val="en-US" w:eastAsia="zh-CN"/>
        </w:rPr>
        <w:t>3.6</w:t>
      </w:r>
      <w:r>
        <w:rPr>
          <w:rFonts w:ascii="仿宋_GB2312" w:eastAsia="仿宋_GB2312"/>
          <w:sz w:val="32"/>
          <w:szCs w:val="32"/>
        </w:rPr>
        <w:t>分。</w:t>
      </w:r>
    </w:p>
    <w:p>
      <w:pPr>
        <w:pStyle w:val="25"/>
        <w:ind w:firstLine="480"/>
        <w:rPr>
          <w:rStyle w:val="35"/>
          <w:rFonts w:hint="eastAsia" w:eastAsia="楷体_GB2312"/>
          <w:color w:val="000000"/>
          <w:sz w:val="32"/>
          <w:szCs w:val="32"/>
          <w:lang w:eastAsia="zh-CN"/>
        </w:rPr>
      </w:pPr>
      <w:bookmarkStart w:id="7" w:name="_Toc52359439"/>
      <w:r>
        <w:rPr>
          <w:rStyle w:val="35"/>
          <w:rFonts w:hint="eastAsia"/>
          <w:color w:val="000000"/>
          <w:sz w:val="32"/>
          <w:szCs w:val="32"/>
        </w:rPr>
        <w:t>（</w:t>
      </w:r>
      <w:r>
        <w:rPr>
          <w:rStyle w:val="35"/>
          <w:rFonts w:hint="eastAsia"/>
          <w:color w:val="000000"/>
          <w:sz w:val="32"/>
          <w:szCs w:val="32"/>
          <w:lang w:eastAsia="zh-CN"/>
        </w:rPr>
        <w:t>三</w:t>
      </w:r>
      <w:r>
        <w:rPr>
          <w:rStyle w:val="35"/>
          <w:rFonts w:hint="eastAsia"/>
          <w:color w:val="000000"/>
          <w:sz w:val="32"/>
          <w:szCs w:val="32"/>
        </w:rPr>
        <w:t>）产出</w:t>
      </w:r>
      <w:r>
        <w:rPr>
          <w:rStyle w:val="35"/>
          <w:rFonts w:hint="eastAsia"/>
          <w:color w:val="000000"/>
          <w:sz w:val="32"/>
          <w:szCs w:val="32"/>
          <w:lang w:eastAsia="zh-CN"/>
        </w:rPr>
        <w:t>方面</w:t>
      </w:r>
      <w:bookmarkEnd w:id="7"/>
    </w:p>
    <w:p>
      <w:pPr>
        <w:spacing w:line="600" w:lineRule="exact"/>
        <w:ind w:firstLine="643" w:firstLineChars="200"/>
        <w:rPr>
          <w:rStyle w:val="35"/>
          <w:rFonts w:hint="eastAsia" w:ascii="仿宋_GB2312" w:hAnsi="仿宋_GB2312" w:eastAsia="仿宋_GB2312" w:cs="仿宋_GB2312"/>
          <w:color w:val="000000"/>
          <w:sz w:val="32"/>
          <w:szCs w:val="32"/>
          <w:lang w:eastAsia="zh-CN"/>
        </w:rPr>
      </w:pPr>
      <w:r>
        <w:rPr>
          <w:rStyle w:val="35"/>
          <w:rFonts w:hint="eastAsia" w:ascii="仿宋_GB2312" w:hAnsi="仿宋_GB2312" w:eastAsia="仿宋_GB2312" w:cs="仿宋_GB2312"/>
          <w:b/>
          <w:bCs/>
          <w:color w:val="000000"/>
          <w:sz w:val="32"/>
          <w:szCs w:val="32"/>
          <w:lang w:val="en-US" w:eastAsia="zh-CN"/>
        </w:rPr>
        <w:t>1.实际完成率。</w:t>
      </w:r>
      <w:r>
        <w:rPr>
          <w:rStyle w:val="35"/>
          <w:rFonts w:hint="eastAsia" w:ascii="仿宋_GB2312" w:hAnsi="仿宋_GB2312" w:eastAsia="仿宋_GB2312" w:cs="仿宋_GB2312"/>
          <w:color w:val="000000"/>
          <w:sz w:val="32"/>
          <w:szCs w:val="32"/>
          <w:lang w:val="en-US" w:eastAsia="zh-CN"/>
        </w:rPr>
        <w:t>项目完成率100%。但</w:t>
      </w:r>
      <w:r>
        <w:rPr>
          <w:rFonts w:ascii="仿宋_GB2312" w:eastAsia="仿宋_GB2312"/>
          <w:sz w:val="32"/>
          <w:szCs w:val="32"/>
        </w:rPr>
        <w:t>星级农贸市场构成结构上仍以四星、三星农贸市场为主，五星农贸市场仍是只有1家</w:t>
      </w:r>
      <w:r>
        <w:rPr>
          <w:rFonts w:hint="eastAsia" w:ascii="仿宋_GB2312" w:eastAsia="仿宋_GB2312"/>
          <w:sz w:val="32"/>
          <w:szCs w:val="32"/>
          <w:lang w:eastAsia="zh-CN"/>
        </w:rPr>
        <w:t>。</w:t>
      </w:r>
      <w:r>
        <w:rPr>
          <w:rFonts w:hint="eastAsia" w:ascii="仿宋_GB2312" w:eastAsia="仿宋_GB2312"/>
          <w:sz w:val="32"/>
          <w:szCs w:val="32"/>
        </w:rPr>
        <w:t>因此</w:t>
      </w:r>
      <w:r>
        <w:rPr>
          <w:rFonts w:hint="eastAsia" w:ascii="仿宋_GB2312" w:eastAsia="仿宋_GB2312"/>
          <w:sz w:val="32"/>
          <w:szCs w:val="32"/>
          <w:lang w:eastAsia="zh-CN"/>
        </w:rPr>
        <w:t>该项</w:t>
      </w:r>
      <w:r>
        <w:rPr>
          <w:rFonts w:ascii="仿宋_GB2312" w:eastAsia="仿宋_GB2312"/>
          <w:sz w:val="32"/>
          <w:szCs w:val="32"/>
        </w:rPr>
        <w:t>指标扣</w:t>
      </w:r>
      <w:r>
        <w:rPr>
          <w:rFonts w:hint="eastAsia" w:ascii="仿宋_GB2312" w:eastAsia="仿宋_GB2312"/>
          <w:sz w:val="32"/>
          <w:szCs w:val="32"/>
          <w:lang w:val="en-US" w:eastAsia="zh-CN"/>
        </w:rPr>
        <w:t>2</w:t>
      </w:r>
      <w:r>
        <w:rPr>
          <w:rFonts w:ascii="仿宋_GB2312" w:eastAsia="仿宋_GB2312"/>
          <w:sz w:val="32"/>
          <w:szCs w:val="32"/>
        </w:rPr>
        <w:t>分，得</w:t>
      </w:r>
      <w:r>
        <w:rPr>
          <w:rFonts w:hint="eastAsia" w:ascii="仿宋_GB2312" w:eastAsia="仿宋_GB2312"/>
          <w:sz w:val="32"/>
          <w:szCs w:val="32"/>
          <w:lang w:val="en-US" w:eastAsia="zh-CN"/>
        </w:rPr>
        <w:t>3</w:t>
      </w:r>
      <w:r>
        <w:rPr>
          <w:rFonts w:ascii="仿宋_GB2312" w:eastAsia="仿宋_GB2312"/>
          <w:sz w:val="32"/>
          <w:szCs w:val="32"/>
        </w:rPr>
        <w:t>分。</w:t>
      </w:r>
    </w:p>
    <w:p>
      <w:pPr>
        <w:spacing w:line="600" w:lineRule="exact"/>
        <w:ind w:firstLine="643" w:firstLineChars="200"/>
        <w:rPr>
          <w:rStyle w:val="35"/>
          <w:rFonts w:hint="eastAsia" w:ascii="仿宋_GB2312" w:hAnsi="仿宋_GB2312" w:eastAsia="仿宋_GB2312" w:cs="仿宋_GB2312"/>
          <w:color w:val="000000"/>
          <w:sz w:val="32"/>
          <w:szCs w:val="32"/>
          <w:lang w:val="en-US" w:eastAsia="zh-CN"/>
        </w:rPr>
      </w:pPr>
      <w:r>
        <w:rPr>
          <w:rStyle w:val="35"/>
          <w:rFonts w:hint="eastAsia" w:ascii="仿宋_GB2312" w:hAnsi="仿宋_GB2312" w:eastAsia="仿宋_GB2312" w:cs="仿宋_GB2312"/>
          <w:b/>
          <w:bCs/>
          <w:color w:val="000000"/>
          <w:sz w:val="32"/>
          <w:szCs w:val="32"/>
          <w:lang w:val="en-US" w:eastAsia="zh-CN"/>
        </w:rPr>
        <w:t>2.数量变动率。</w:t>
      </w:r>
      <w:r>
        <w:rPr>
          <w:rStyle w:val="35"/>
          <w:rFonts w:hint="eastAsia" w:ascii="仿宋_GB2312" w:hAnsi="仿宋_GB2312" w:eastAsia="仿宋_GB2312" w:cs="仿宋_GB2312"/>
          <w:color w:val="000000"/>
          <w:sz w:val="32"/>
          <w:szCs w:val="32"/>
          <w:lang w:val="en-US" w:eastAsia="zh-CN"/>
        </w:rPr>
        <w:t>数量变动率为0。该项指标得满分5分。</w:t>
      </w:r>
    </w:p>
    <w:p>
      <w:pPr>
        <w:spacing w:line="600" w:lineRule="exact"/>
        <w:ind w:firstLine="643" w:firstLineChars="200"/>
        <w:rPr>
          <w:rStyle w:val="35"/>
          <w:rFonts w:hint="eastAsia" w:ascii="仿宋_GB2312" w:hAnsi="仿宋_GB2312" w:eastAsia="仿宋_GB2312" w:cs="仿宋_GB2312"/>
          <w:color w:val="000000"/>
          <w:sz w:val="32"/>
          <w:szCs w:val="32"/>
          <w:lang w:val="en-US" w:eastAsia="zh-CN"/>
        </w:rPr>
      </w:pPr>
      <w:r>
        <w:rPr>
          <w:rStyle w:val="35"/>
          <w:rFonts w:hint="eastAsia" w:ascii="仿宋_GB2312" w:hAnsi="仿宋_GB2312" w:eastAsia="仿宋_GB2312" w:cs="仿宋_GB2312"/>
          <w:b/>
          <w:bCs/>
          <w:color w:val="000000"/>
          <w:sz w:val="32"/>
          <w:szCs w:val="32"/>
          <w:lang w:val="en-US" w:eastAsia="zh-CN"/>
        </w:rPr>
        <w:t>3.质量达标率</w:t>
      </w:r>
      <w:r>
        <w:rPr>
          <w:rStyle w:val="35"/>
          <w:rFonts w:hint="eastAsia" w:ascii="仿宋_GB2312" w:hAnsi="仿宋_GB2312" w:eastAsia="仿宋_GB2312" w:cs="仿宋_GB2312"/>
          <w:color w:val="000000"/>
          <w:sz w:val="32"/>
          <w:szCs w:val="32"/>
          <w:lang w:val="en-US" w:eastAsia="zh-CN"/>
        </w:rPr>
        <w:t>。质量达标率100%。但</w:t>
      </w:r>
      <w:r>
        <w:rPr>
          <w:rFonts w:ascii="仿宋_GB2312" w:eastAsia="仿宋_GB2312"/>
          <w:sz w:val="32"/>
          <w:szCs w:val="32"/>
        </w:rPr>
        <w:t>星级农贸市场构成结构上仍以四星、三星农贸市场为主，五星农贸市场仍是只有1家</w:t>
      </w:r>
      <w:r>
        <w:rPr>
          <w:rFonts w:hint="eastAsia" w:ascii="仿宋_GB2312" w:eastAsia="仿宋_GB2312"/>
          <w:sz w:val="32"/>
          <w:szCs w:val="32"/>
          <w:lang w:eastAsia="zh-CN"/>
        </w:rPr>
        <w:t>。</w:t>
      </w:r>
      <w:r>
        <w:rPr>
          <w:rFonts w:hint="eastAsia" w:ascii="仿宋_GB2312" w:eastAsia="仿宋_GB2312"/>
          <w:sz w:val="32"/>
          <w:szCs w:val="32"/>
        </w:rPr>
        <w:t>因此</w:t>
      </w:r>
      <w:r>
        <w:rPr>
          <w:rFonts w:hint="eastAsia" w:ascii="仿宋_GB2312" w:eastAsia="仿宋_GB2312"/>
          <w:sz w:val="32"/>
          <w:szCs w:val="32"/>
          <w:lang w:eastAsia="zh-CN"/>
        </w:rPr>
        <w:t>该项</w:t>
      </w:r>
      <w:r>
        <w:rPr>
          <w:rFonts w:ascii="仿宋_GB2312" w:eastAsia="仿宋_GB2312"/>
          <w:sz w:val="32"/>
          <w:szCs w:val="32"/>
        </w:rPr>
        <w:t>指标扣</w:t>
      </w:r>
      <w:r>
        <w:rPr>
          <w:rFonts w:hint="eastAsia" w:ascii="仿宋_GB2312" w:eastAsia="仿宋_GB2312"/>
          <w:sz w:val="32"/>
          <w:szCs w:val="32"/>
          <w:lang w:val="en-US" w:eastAsia="zh-CN"/>
        </w:rPr>
        <w:t>2</w:t>
      </w:r>
      <w:r>
        <w:rPr>
          <w:rFonts w:ascii="仿宋_GB2312" w:eastAsia="仿宋_GB2312"/>
          <w:sz w:val="32"/>
          <w:szCs w:val="32"/>
        </w:rPr>
        <w:t>分，得</w:t>
      </w:r>
      <w:r>
        <w:rPr>
          <w:rFonts w:hint="eastAsia" w:ascii="仿宋_GB2312" w:eastAsia="仿宋_GB2312"/>
          <w:sz w:val="32"/>
          <w:szCs w:val="32"/>
          <w:lang w:val="en-US" w:eastAsia="zh-CN"/>
        </w:rPr>
        <w:t>3</w:t>
      </w:r>
      <w:r>
        <w:rPr>
          <w:rFonts w:ascii="仿宋_GB2312" w:eastAsia="仿宋_GB2312"/>
          <w:sz w:val="32"/>
          <w:szCs w:val="32"/>
        </w:rPr>
        <w:t>分。</w:t>
      </w:r>
    </w:p>
    <w:p>
      <w:pPr>
        <w:spacing w:line="600" w:lineRule="exact"/>
        <w:ind w:firstLine="643" w:firstLineChars="200"/>
        <w:rPr>
          <w:rStyle w:val="35"/>
          <w:rFonts w:hint="eastAsia" w:ascii="仿宋_GB2312" w:hAnsi="仿宋_GB2312" w:eastAsia="仿宋_GB2312" w:cs="仿宋_GB2312"/>
          <w:color w:val="000000"/>
          <w:sz w:val="32"/>
          <w:szCs w:val="32"/>
          <w:lang w:val="en-US" w:eastAsia="zh-CN"/>
        </w:rPr>
      </w:pPr>
      <w:r>
        <w:rPr>
          <w:rStyle w:val="35"/>
          <w:rFonts w:hint="eastAsia" w:ascii="仿宋_GB2312" w:hAnsi="仿宋_GB2312" w:eastAsia="仿宋_GB2312" w:cs="仿宋_GB2312"/>
          <w:b/>
          <w:bCs/>
          <w:color w:val="000000"/>
          <w:sz w:val="32"/>
          <w:szCs w:val="32"/>
          <w:lang w:val="en-US" w:eastAsia="zh-CN"/>
        </w:rPr>
        <w:t>4.完成及时率</w:t>
      </w:r>
      <w:r>
        <w:rPr>
          <w:rStyle w:val="35"/>
          <w:rFonts w:hint="eastAsia" w:ascii="仿宋_GB2312" w:hAnsi="仿宋_GB2312" w:eastAsia="仿宋_GB2312" w:cs="仿宋_GB2312"/>
          <w:color w:val="000000"/>
          <w:sz w:val="32"/>
          <w:szCs w:val="32"/>
          <w:lang w:val="en-US" w:eastAsia="zh-CN"/>
        </w:rPr>
        <w:t>。完成及时率100%</w:t>
      </w:r>
      <w:bookmarkStart w:id="8" w:name="_Toc52359440"/>
      <w:r>
        <w:rPr>
          <w:rStyle w:val="35"/>
          <w:rFonts w:hint="eastAsia" w:ascii="仿宋_GB2312" w:hAnsi="仿宋_GB2312" w:eastAsia="仿宋_GB2312" w:cs="仿宋_GB2312"/>
          <w:color w:val="000000"/>
          <w:sz w:val="32"/>
          <w:szCs w:val="32"/>
          <w:lang w:val="en-US" w:eastAsia="zh-CN"/>
        </w:rPr>
        <w:t>。该项指标得满分5分。</w:t>
      </w:r>
    </w:p>
    <w:p>
      <w:pPr>
        <w:spacing w:line="600" w:lineRule="exact"/>
        <w:ind w:firstLine="643" w:firstLineChars="200"/>
        <w:rPr>
          <w:rStyle w:val="35"/>
          <w:rFonts w:hint="eastAsia" w:ascii="仿宋_GB2312" w:hAnsi="仿宋_GB2312" w:eastAsia="仿宋_GB2312" w:cs="仿宋_GB2312"/>
          <w:color w:val="000000"/>
          <w:sz w:val="32"/>
          <w:szCs w:val="32"/>
          <w:lang w:val="en-US" w:eastAsia="zh-CN"/>
        </w:rPr>
      </w:pPr>
      <w:r>
        <w:rPr>
          <w:rStyle w:val="35"/>
          <w:rFonts w:hint="eastAsia" w:ascii="仿宋_GB2312" w:hAnsi="仿宋_GB2312" w:eastAsia="仿宋_GB2312" w:cs="仿宋_GB2312"/>
          <w:b/>
          <w:bCs/>
          <w:color w:val="000000"/>
          <w:sz w:val="32"/>
          <w:szCs w:val="32"/>
          <w:lang w:val="en-US" w:eastAsia="zh-CN"/>
        </w:rPr>
        <w:t>5.成本节约率</w:t>
      </w:r>
      <w:r>
        <w:rPr>
          <w:rStyle w:val="35"/>
          <w:rFonts w:hint="eastAsia" w:ascii="仿宋_GB2312" w:hAnsi="仿宋_GB2312" w:eastAsia="仿宋_GB2312" w:cs="仿宋_GB2312"/>
          <w:color w:val="000000"/>
          <w:sz w:val="32"/>
          <w:szCs w:val="32"/>
          <w:lang w:val="en-US" w:eastAsia="zh-CN"/>
        </w:rPr>
        <w:t>。成本节约率0。该项指标得满分5分。</w:t>
      </w:r>
    </w:p>
    <w:p>
      <w:pPr>
        <w:spacing w:line="600" w:lineRule="exact"/>
        <w:ind w:firstLine="640" w:firstLineChars="200"/>
        <w:rPr>
          <w:rStyle w:val="35"/>
          <w:rFonts w:hint="eastAsia" w:ascii="楷体_GB2312" w:hAnsi="楷体_GB2312" w:eastAsia="楷体_GB2312" w:cs="楷体_GB2312"/>
          <w:color w:val="000000"/>
          <w:sz w:val="32"/>
          <w:szCs w:val="32"/>
          <w:lang w:val="en-US" w:eastAsia="zh-CN"/>
        </w:rPr>
      </w:pPr>
      <w:r>
        <w:rPr>
          <w:rStyle w:val="35"/>
          <w:rFonts w:hint="eastAsia" w:ascii="楷体_GB2312" w:hAnsi="楷体_GB2312" w:eastAsia="楷体_GB2312" w:cs="楷体_GB2312"/>
          <w:color w:val="000000"/>
          <w:sz w:val="32"/>
          <w:szCs w:val="32"/>
          <w:lang w:val="en-US" w:eastAsia="zh-CN"/>
        </w:rPr>
        <w:t>（四）效益方面</w:t>
      </w:r>
    </w:p>
    <w:p>
      <w:pPr>
        <w:spacing w:line="600" w:lineRule="exact"/>
        <w:ind w:firstLine="643" w:firstLineChars="200"/>
        <w:rPr>
          <w:rStyle w:val="35"/>
          <w:rFonts w:hint="eastAsia" w:ascii="仿宋_GB2312" w:hAnsi="仿宋_GB2312" w:eastAsia="仿宋_GB2312" w:cs="仿宋_GB2312"/>
          <w:color w:val="000000"/>
          <w:sz w:val="32"/>
          <w:szCs w:val="32"/>
          <w:lang w:val="en-US" w:eastAsia="zh-CN"/>
        </w:rPr>
      </w:pPr>
      <w:r>
        <w:rPr>
          <w:rStyle w:val="35"/>
          <w:rFonts w:hint="eastAsia" w:ascii="仿宋_GB2312" w:hAnsi="仿宋_GB2312" w:eastAsia="仿宋_GB2312" w:cs="仿宋_GB2312"/>
          <w:b/>
          <w:bCs/>
          <w:color w:val="000000"/>
          <w:sz w:val="32"/>
          <w:szCs w:val="32"/>
          <w:lang w:val="en-US" w:eastAsia="zh-CN"/>
        </w:rPr>
        <w:t>1.农贸市场投诉办结率</w:t>
      </w:r>
      <w:r>
        <w:rPr>
          <w:rStyle w:val="35"/>
          <w:rFonts w:hint="eastAsia" w:ascii="仿宋_GB2312" w:hAnsi="仿宋_GB2312" w:eastAsia="仿宋_GB2312" w:cs="仿宋_GB2312"/>
          <w:color w:val="000000"/>
          <w:sz w:val="32"/>
          <w:szCs w:val="32"/>
          <w:lang w:val="en-US" w:eastAsia="zh-CN"/>
        </w:rPr>
        <w:t>。农贸市场投诉办结率为100%，该项指标得满分9分。</w:t>
      </w:r>
    </w:p>
    <w:p>
      <w:pPr>
        <w:spacing w:line="600" w:lineRule="exact"/>
        <w:ind w:firstLine="643" w:firstLineChars="200"/>
        <w:rPr>
          <w:rStyle w:val="35"/>
          <w:rFonts w:hint="default" w:ascii="仿宋_GB2312" w:hAnsi="仿宋_GB2312" w:eastAsia="仿宋_GB2312" w:cs="仿宋_GB2312"/>
          <w:color w:val="000000"/>
          <w:sz w:val="32"/>
          <w:szCs w:val="32"/>
          <w:lang w:val="en-US" w:eastAsia="zh-CN"/>
        </w:rPr>
      </w:pPr>
      <w:r>
        <w:rPr>
          <w:rStyle w:val="35"/>
          <w:rFonts w:hint="eastAsia" w:ascii="仿宋_GB2312" w:hAnsi="仿宋_GB2312" w:eastAsia="仿宋_GB2312" w:cs="仿宋_GB2312"/>
          <w:b/>
          <w:bCs/>
          <w:color w:val="000000"/>
          <w:sz w:val="32"/>
          <w:szCs w:val="32"/>
          <w:lang w:val="en-US" w:eastAsia="zh-CN"/>
        </w:rPr>
        <w:t>2.农贸市场食品安全事故发生率</w:t>
      </w:r>
      <w:r>
        <w:rPr>
          <w:rStyle w:val="35"/>
          <w:rFonts w:hint="eastAsia" w:ascii="仿宋_GB2312" w:hAnsi="仿宋_GB2312" w:eastAsia="仿宋_GB2312" w:cs="仿宋_GB2312"/>
          <w:color w:val="000000"/>
          <w:sz w:val="32"/>
          <w:szCs w:val="32"/>
          <w:lang w:val="en-US" w:eastAsia="zh-CN"/>
        </w:rPr>
        <w:t>。2020年农贸市场食品安全事故发生率为0%，该项指标得满分8分。</w:t>
      </w:r>
    </w:p>
    <w:p>
      <w:pPr>
        <w:spacing w:line="600" w:lineRule="exact"/>
        <w:ind w:firstLine="643" w:firstLineChars="200"/>
        <w:rPr>
          <w:rStyle w:val="35"/>
          <w:rFonts w:hint="eastAsia" w:ascii="仿宋_GB2312" w:hAnsi="仿宋_GB2312" w:eastAsia="仿宋_GB2312" w:cs="仿宋_GB2312"/>
          <w:color w:val="000000"/>
          <w:sz w:val="32"/>
          <w:szCs w:val="32"/>
          <w:u w:val="none"/>
          <w:lang w:val="en-US" w:eastAsia="zh-CN"/>
        </w:rPr>
      </w:pPr>
      <w:r>
        <w:rPr>
          <w:rStyle w:val="35"/>
          <w:rFonts w:hint="eastAsia" w:ascii="仿宋_GB2312" w:hAnsi="仿宋_GB2312" w:eastAsia="仿宋_GB2312" w:cs="仿宋_GB2312"/>
          <w:b/>
          <w:bCs/>
          <w:color w:val="000000"/>
          <w:sz w:val="32"/>
          <w:szCs w:val="32"/>
          <w:lang w:val="en-US" w:eastAsia="zh-CN"/>
        </w:rPr>
        <w:t>3.农贸市场消防事故发生率</w:t>
      </w:r>
      <w:r>
        <w:rPr>
          <w:rStyle w:val="35"/>
          <w:rFonts w:hint="eastAsia" w:ascii="仿宋_GB2312" w:hAnsi="仿宋_GB2312" w:eastAsia="仿宋_GB2312" w:cs="仿宋_GB2312"/>
          <w:color w:val="000000"/>
          <w:sz w:val="32"/>
          <w:szCs w:val="32"/>
          <w:u w:val="none"/>
          <w:lang w:val="en-US" w:eastAsia="zh-CN"/>
        </w:rPr>
        <w:t>。2020年农贸市场消防事故发生率</w:t>
      </w:r>
      <w:r>
        <w:rPr>
          <w:rStyle w:val="35"/>
          <w:rFonts w:hint="eastAsia" w:ascii="仿宋_GB2312" w:hAnsi="仿宋_GB2312" w:eastAsia="仿宋_GB2312" w:cs="仿宋_GB2312"/>
          <w:color w:val="000000"/>
          <w:sz w:val="32"/>
          <w:szCs w:val="32"/>
          <w:lang w:val="en-US" w:eastAsia="zh-CN"/>
        </w:rPr>
        <w:t>0%</w:t>
      </w:r>
      <w:r>
        <w:rPr>
          <w:rStyle w:val="35"/>
          <w:rFonts w:hint="eastAsia" w:ascii="仿宋_GB2312" w:hAnsi="仿宋_GB2312" w:eastAsia="仿宋_GB2312" w:cs="仿宋_GB2312"/>
          <w:color w:val="000000"/>
          <w:sz w:val="32"/>
          <w:szCs w:val="32"/>
          <w:u w:val="none"/>
          <w:lang w:val="en-US" w:eastAsia="zh-CN"/>
        </w:rPr>
        <w:t>，该项指标得满分8分。</w:t>
      </w:r>
    </w:p>
    <w:p>
      <w:pPr>
        <w:spacing w:line="600" w:lineRule="exact"/>
        <w:ind w:firstLine="643" w:firstLineChars="200"/>
        <w:rPr>
          <w:rStyle w:val="35"/>
          <w:rFonts w:hint="eastAsia" w:ascii="仿宋_GB2312" w:hAnsi="仿宋_GB2312" w:eastAsia="仿宋_GB2312" w:cs="仿宋_GB2312"/>
          <w:color w:val="000000"/>
          <w:sz w:val="32"/>
          <w:szCs w:val="32"/>
          <w:u w:val="none"/>
          <w:lang w:val="en-US" w:eastAsia="zh-CN"/>
        </w:rPr>
      </w:pPr>
      <w:r>
        <w:rPr>
          <w:rStyle w:val="35"/>
          <w:rFonts w:hint="eastAsia" w:ascii="仿宋_GB2312" w:hAnsi="仿宋_GB2312" w:eastAsia="仿宋_GB2312" w:cs="仿宋_GB2312"/>
          <w:b/>
          <w:bCs/>
          <w:color w:val="000000"/>
          <w:sz w:val="32"/>
          <w:szCs w:val="32"/>
          <w:lang w:val="en-US" w:eastAsia="zh-CN"/>
        </w:rPr>
        <w:t>4.政策可持续性。</w:t>
      </w:r>
      <w:r>
        <w:rPr>
          <w:rStyle w:val="35"/>
          <w:rFonts w:hint="eastAsia" w:ascii="仿宋_GB2312" w:hAnsi="仿宋_GB2312" w:eastAsia="仿宋_GB2312" w:cs="仿宋_GB2312"/>
          <w:color w:val="000000"/>
          <w:sz w:val="32"/>
          <w:szCs w:val="32"/>
          <w:u w:val="none"/>
          <w:lang w:val="en-US" w:eastAsia="zh-CN"/>
        </w:rPr>
        <w:t>项目政策能够使项目后续运行及成效发挥得到可持续发展，该项目得满分1分。</w:t>
      </w:r>
    </w:p>
    <w:p>
      <w:pPr>
        <w:spacing w:line="600" w:lineRule="exact"/>
        <w:ind w:firstLine="643" w:firstLineChars="200"/>
        <w:rPr>
          <w:rStyle w:val="35"/>
          <w:rFonts w:hint="eastAsia" w:ascii="仿宋_GB2312" w:hAnsi="仿宋_GB2312" w:eastAsia="仿宋_GB2312" w:cs="仿宋_GB2312"/>
          <w:color w:val="000000"/>
          <w:sz w:val="32"/>
          <w:szCs w:val="32"/>
          <w:u w:val="none"/>
          <w:lang w:val="en-US" w:eastAsia="zh-CN"/>
        </w:rPr>
      </w:pPr>
      <w:r>
        <w:rPr>
          <w:rStyle w:val="35"/>
          <w:rFonts w:hint="eastAsia" w:ascii="仿宋_GB2312" w:hAnsi="仿宋_GB2312" w:eastAsia="仿宋_GB2312" w:cs="仿宋_GB2312"/>
          <w:b/>
          <w:bCs/>
          <w:color w:val="000000"/>
          <w:sz w:val="32"/>
          <w:szCs w:val="32"/>
          <w:lang w:val="en-US" w:eastAsia="zh-CN"/>
        </w:rPr>
        <w:t>5.项目发展机制可持续性。</w:t>
      </w:r>
      <w:r>
        <w:rPr>
          <w:rStyle w:val="35"/>
          <w:rFonts w:hint="eastAsia" w:ascii="仿宋_GB2312" w:hAnsi="仿宋_GB2312" w:eastAsia="仿宋_GB2312" w:cs="仿宋_GB2312"/>
          <w:color w:val="000000"/>
          <w:sz w:val="32"/>
          <w:szCs w:val="32"/>
          <w:u w:val="none"/>
          <w:lang w:val="en-US" w:eastAsia="zh-CN"/>
        </w:rPr>
        <w:t>项目运转形成了可持续发展的机制。该项目得满分1分。</w:t>
      </w:r>
    </w:p>
    <w:p>
      <w:pPr>
        <w:spacing w:line="600" w:lineRule="exact"/>
        <w:ind w:firstLine="643" w:firstLineChars="200"/>
        <w:rPr>
          <w:rStyle w:val="35"/>
          <w:rFonts w:hint="default" w:ascii="仿宋_GB2312" w:hAnsi="仿宋_GB2312" w:eastAsia="仿宋_GB2312" w:cs="仿宋_GB2312"/>
          <w:color w:val="000000"/>
          <w:sz w:val="32"/>
          <w:szCs w:val="32"/>
          <w:u w:val="none"/>
          <w:lang w:val="en-US" w:eastAsia="zh-CN"/>
        </w:rPr>
      </w:pPr>
      <w:r>
        <w:rPr>
          <w:rStyle w:val="35"/>
          <w:rFonts w:hint="eastAsia" w:ascii="仿宋_GB2312" w:hAnsi="仿宋_GB2312" w:eastAsia="仿宋_GB2312" w:cs="仿宋_GB2312"/>
          <w:b/>
          <w:bCs/>
          <w:color w:val="000000"/>
          <w:sz w:val="32"/>
          <w:szCs w:val="32"/>
          <w:lang w:val="en-US" w:eastAsia="zh-CN"/>
        </w:rPr>
        <w:t>6.受益群体满意度。</w:t>
      </w:r>
      <w:r>
        <w:rPr>
          <w:rStyle w:val="35"/>
          <w:rFonts w:hint="eastAsia" w:ascii="仿宋_GB2312" w:hAnsi="仿宋_GB2312" w:eastAsia="仿宋_GB2312" w:cs="仿宋_GB2312"/>
          <w:color w:val="000000"/>
          <w:sz w:val="32"/>
          <w:szCs w:val="32"/>
          <w:u w:val="none"/>
          <w:lang w:val="en-US" w:eastAsia="zh-CN"/>
        </w:rPr>
        <w:t>2020年“三民”活动中消费环境满意度为97.26%，高于目标值。该项目指标得满分8分。</w:t>
      </w:r>
    </w:p>
    <w:bookmarkEnd w:id="2"/>
    <w:bookmarkEnd w:id="3"/>
    <w:bookmarkEnd w:id="8"/>
    <w:p>
      <w:pPr>
        <w:wordWrap/>
        <w:spacing w:line="560" w:lineRule="exact"/>
        <w:ind w:left="0" w:leftChars="0" w:right="0" w:firstLine="640" w:firstLineChars="200"/>
        <w:textAlignment w:val="auto"/>
        <w:outlineLvl w:val="1"/>
        <w:rPr>
          <w:rFonts w:hint="eastAsia" w:ascii="黑体" w:hAnsi="黑体" w:eastAsia="黑体" w:cs="黑体"/>
          <w:sz w:val="32"/>
          <w:szCs w:val="32"/>
        </w:rPr>
      </w:pPr>
      <w:bookmarkStart w:id="9" w:name="_Toc53743647"/>
      <w:r>
        <w:rPr>
          <w:rFonts w:hint="eastAsia" w:ascii="黑体" w:hAnsi="黑体" w:eastAsia="黑体" w:cs="黑体"/>
          <w:sz w:val="32"/>
          <w:szCs w:val="32"/>
          <w:lang w:eastAsia="zh-CN"/>
        </w:rPr>
        <w:t>五、</w:t>
      </w:r>
      <w:r>
        <w:rPr>
          <w:rFonts w:hint="eastAsia" w:ascii="黑体" w:hAnsi="黑体" w:eastAsia="黑体" w:cs="黑体"/>
          <w:sz w:val="32"/>
          <w:szCs w:val="32"/>
        </w:rPr>
        <w:t>主要经验及做法</w:t>
      </w:r>
      <w:bookmarkEnd w:id="9"/>
    </w:p>
    <w:p>
      <w:pPr>
        <w:wordWrap/>
        <w:spacing w:line="560" w:lineRule="exact"/>
        <w:ind w:left="0" w:leftChars="0" w:right="0" w:firstLine="640" w:firstLineChars="200"/>
        <w:textAlignment w:val="auto"/>
        <w:rPr>
          <w:rFonts w:ascii="仿宋_GB2312" w:eastAsia="仿宋_GB2312"/>
          <w:sz w:val="32"/>
          <w:szCs w:val="32"/>
        </w:rPr>
      </w:pPr>
      <w:r>
        <w:rPr>
          <w:rFonts w:hint="eastAsia" w:ascii="楷体_GB2312" w:hAnsi="楷体_GB2312" w:eastAsia="楷体_GB2312" w:cs="楷体_GB2312"/>
          <w:sz w:val="32"/>
          <w:szCs w:val="32"/>
          <w:lang w:eastAsia="zh-CN"/>
        </w:rPr>
        <w:t>一是</w:t>
      </w:r>
      <w:r>
        <w:rPr>
          <w:rFonts w:hint="eastAsia" w:ascii="楷体_GB2312" w:hAnsi="楷体_GB2312" w:eastAsia="楷体_GB2312" w:cs="楷体_GB2312"/>
          <w:sz w:val="32"/>
          <w:szCs w:val="32"/>
        </w:rPr>
        <w:t>“先评后补”有效提升预算准确性</w:t>
      </w:r>
      <w:r>
        <w:rPr>
          <w:rFonts w:hint="eastAsia" w:ascii="楷体_GB2312" w:hAnsi="楷体_GB2312" w:eastAsia="楷体_GB2312" w:cs="楷体_GB2312"/>
          <w:sz w:val="32"/>
          <w:szCs w:val="32"/>
          <w:lang w:eastAsia="zh-CN"/>
        </w:rPr>
        <w:t>。</w:t>
      </w:r>
      <w:r>
        <w:rPr>
          <w:rFonts w:hint="eastAsia" w:ascii="仿宋_GB2312" w:eastAsia="仿宋_GB2312"/>
          <w:sz w:val="32"/>
          <w:szCs w:val="32"/>
        </w:rPr>
        <w:t>为保障评审准确性，评审周期</w:t>
      </w:r>
      <w:r>
        <w:rPr>
          <w:rFonts w:hint="eastAsia" w:ascii="仿宋_GB2312" w:eastAsia="仿宋_GB2312"/>
          <w:sz w:val="32"/>
          <w:szCs w:val="32"/>
          <w:lang w:eastAsia="zh-CN"/>
        </w:rPr>
        <w:t>为</w:t>
      </w:r>
      <w:r>
        <w:rPr>
          <w:rFonts w:hint="eastAsia" w:ascii="仿宋_GB2312" w:eastAsia="仿宋_GB2312"/>
          <w:sz w:val="32"/>
          <w:szCs w:val="32"/>
          <w:lang w:val="en-US" w:eastAsia="zh-CN"/>
        </w:rPr>
        <w:t>6</w:t>
      </w:r>
      <w:r>
        <w:rPr>
          <w:rFonts w:hint="eastAsia" w:ascii="仿宋_GB2312" w:eastAsia="仿宋_GB2312"/>
          <w:sz w:val="32"/>
          <w:szCs w:val="32"/>
        </w:rPr>
        <w:t>个月，评审周期较长，同时星级农贸市场的星级是由打分结果确定且不同星级打分标准不同，因此星级农贸市场创建工作的预算难以测定为提高财政资金使用效率，</w:t>
      </w:r>
      <w:r>
        <w:rPr>
          <w:rFonts w:hint="eastAsia" w:ascii="仿宋_GB2312" w:eastAsia="仿宋_GB2312"/>
          <w:sz w:val="32"/>
          <w:szCs w:val="32"/>
          <w:lang w:eastAsia="zh-CN"/>
        </w:rPr>
        <w:t>该项资金采取</w:t>
      </w:r>
      <w:r>
        <w:rPr>
          <w:rFonts w:hint="eastAsia" w:ascii="仿宋_GB2312" w:eastAsia="仿宋_GB2312"/>
          <w:sz w:val="32"/>
          <w:szCs w:val="32"/>
        </w:rPr>
        <w:t>采取“先评后补”的做法，当年完成评定工作后，根据获评农贸市场的星级及标准确定奖补资金额度并安排到下一年预算，在下一年上半年完成奖补资金发放。在提升预算执行率的同时，保障了奖补资金的时效性。</w:t>
      </w:r>
    </w:p>
    <w:p>
      <w:pPr>
        <w:wordWrap/>
        <w:spacing w:line="560" w:lineRule="exact"/>
        <w:ind w:left="0" w:leftChars="0" w:right="0" w:firstLine="640" w:firstLineChars="200"/>
        <w:textAlignment w:val="auto"/>
        <w:rPr>
          <w:rFonts w:ascii="仿宋_GB2312" w:eastAsia="仿宋_GB2312"/>
          <w:sz w:val="32"/>
          <w:szCs w:val="32"/>
        </w:rPr>
      </w:pPr>
      <w:r>
        <w:rPr>
          <w:rFonts w:hint="eastAsia" w:ascii="楷体_GB2312" w:hAnsi="楷体_GB2312" w:eastAsia="楷体_GB2312" w:cs="楷体_GB2312"/>
          <w:sz w:val="32"/>
          <w:szCs w:val="32"/>
          <w:lang w:eastAsia="zh-CN"/>
        </w:rPr>
        <w:t>二是</w:t>
      </w:r>
      <w:r>
        <w:rPr>
          <w:rFonts w:hint="eastAsia" w:ascii="楷体_GB2312" w:hAnsi="楷体_GB2312" w:eastAsia="楷体_GB2312" w:cs="楷体_GB2312"/>
          <w:sz w:val="32"/>
          <w:szCs w:val="32"/>
        </w:rPr>
        <w:t>“以小见大”农贸市场改进提升大</w:t>
      </w:r>
      <w:r>
        <w:rPr>
          <w:rFonts w:hint="eastAsia" w:ascii="楷体_GB2312" w:hAnsi="楷体_GB2312" w:eastAsia="楷体_GB2312" w:cs="楷体_GB2312"/>
          <w:sz w:val="32"/>
          <w:szCs w:val="32"/>
          <w:lang w:eastAsia="zh-CN"/>
        </w:rPr>
        <w:t>。</w:t>
      </w:r>
      <w:r>
        <w:rPr>
          <w:rFonts w:hint="eastAsia" w:ascii="仿宋_GB2312" w:eastAsia="仿宋_GB2312"/>
          <w:sz w:val="32"/>
          <w:szCs w:val="32"/>
        </w:rPr>
        <w:t>通过星级农贸市场的“小资金”带动各农贸市场主动提升改造，让市民感受到了“大改变”，农贸市场购物环境得到明显改善、农贸</w:t>
      </w:r>
      <w:r>
        <w:rPr>
          <w:rFonts w:ascii="仿宋_GB2312" w:eastAsia="仿宋_GB2312"/>
          <w:sz w:val="32"/>
          <w:szCs w:val="32"/>
        </w:rPr>
        <w:t>市场管理服务水平明显提升，农贸市场管理制度不断健全，普遍制定</w:t>
      </w:r>
      <w:r>
        <w:rPr>
          <w:rFonts w:hint="eastAsia" w:ascii="仿宋_GB2312" w:eastAsia="仿宋_GB2312"/>
          <w:sz w:val="32"/>
          <w:szCs w:val="32"/>
        </w:rPr>
        <w:t>市场经营管理台账、环境卫生管理制度、安全生产管理制度、食品安全管理制度、消费维权管理制度等市场管理制度并接受社会监督。同时市场诚信经营意识明显提高，市场内缺斤少两、价格欺诈、假冒伪劣等欺诈消费者现象明显减少，市场食品安全措施得到有效落实。此外，在星级农贸市场创建政策的推动下，部分市场开始了信息化、智慧化建设，部分市场主办单位主动升级更换新一代防拆卸、可追溯、支持线上支付等多功能智能秤具，切实提高市民购物消费体验，市民满意度不断提高。</w:t>
      </w:r>
    </w:p>
    <w:p>
      <w:pPr>
        <w:numPr>
          <w:ilvl w:val="0"/>
          <w:numId w:val="2"/>
        </w:numPr>
        <w:wordWrap/>
        <w:spacing w:line="560" w:lineRule="exact"/>
        <w:ind w:left="0" w:leftChars="0" w:right="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存在的问题及有关建议</w:t>
      </w:r>
    </w:p>
    <w:p>
      <w:pPr>
        <w:numPr>
          <w:ilvl w:val="0"/>
          <w:numId w:val="0"/>
        </w:numPr>
        <w:wordWrap/>
        <w:spacing w:line="560" w:lineRule="exact"/>
        <w:ind w:right="0" w:firstLine="640" w:firstLineChars="200"/>
        <w:textAlignment w:val="auto"/>
        <w:rPr>
          <w:rFonts w:hint="eastAsia" w:ascii="仿宋_GB2312" w:eastAsia="仿宋_GB2312"/>
          <w:sz w:val="32"/>
          <w:szCs w:val="32"/>
          <w:lang w:eastAsia="zh-CN"/>
        </w:rPr>
      </w:pPr>
      <w:r>
        <w:rPr>
          <w:rFonts w:hint="eastAsia" w:ascii="楷体_GB2312" w:hAnsi="楷体_GB2312" w:eastAsia="楷体_GB2312" w:cs="楷体_GB2312"/>
          <w:sz w:val="32"/>
          <w:szCs w:val="32"/>
          <w:lang w:eastAsia="zh-CN"/>
        </w:rPr>
        <w:t>一是</w:t>
      </w:r>
      <w:r>
        <w:rPr>
          <w:rFonts w:hint="eastAsia" w:ascii="楷体_GB2312" w:hAnsi="楷体_GB2312" w:eastAsia="楷体_GB2312" w:cs="楷体_GB2312"/>
          <w:sz w:val="32"/>
          <w:szCs w:val="32"/>
        </w:rPr>
        <w:t>评合理性有待改进</w:t>
      </w:r>
      <w:r>
        <w:rPr>
          <w:rFonts w:hint="eastAsia" w:ascii="楷体_GB2312" w:hAnsi="楷体_GB2312" w:eastAsia="楷体_GB2312" w:cs="楷体_GB2312"/>
          <w:sz w:val="32"/>
          <w:szCs w:val="32"/>
          <w:lang w:eastAsia="zh-CN"/>
        </w:rPr>
        <w:t>。</w:t>
      </w:r>
      <w:r>
        <w:rPr>
          <w:rFonts w:hint="eastAsia" w:ascii="仿宋_GB2312" w:eastAsia="仿宋_GB2312"/>
          <w:sz w:val="32"/>
          <w:szCs w:val="32"/>
        </w:rPr>
        <w:t>根据《创建办法》，星级农贸市场的年度测评成绩7</w:t>
      </w:r>
      <w:r>
        <w:rPr>
          <w:rFonts w:ascii="仿宋_GB2312" w:eastAsia="仿宋_GB2312"/>
          <w:sz w:val="32"/>
          <w:szCs w:val="32"/>
        </w:rPr>
        <w:t>0</w:t>
      </w:r>
      <w:r>
        <w:rPr>
          <w:rFonts w:hint="eastAsia" w:ascii="仿宋_GB2312" w:eastAsia="仿宋_GB2312"/>
          <w:sz w:val="32"/>
          <w:szCs w:val="32"/>
        </w:rPr>
        <w:t>%取决于第三方测评机构测评，但在调研过程中发现，由于农贸市场时段性的特点，测评的时间、测评人员的主观判断、测评机构的评分差异等都会对测评结果造成一定的影响</w:t>
      </w:r>
      <w:r>
        <w:rPr>
          <w:rFonts w:hint="eastAsia" w:ascii="仿宋_GB2312" w:eastAsia="仿宋_GB2312"/>
          <w:sz w:val="32"/>
          <w:szCs w:val="32"/>
          <w:lang w:eastAsia="zh-CN"/>
        </w:rPr>
        <w:t>。</w:t>
      </w:r>
    </w:p>
    <w:p>
      <w:pPr>
        <w:wordWrap/>
        <w:spacing w:line="560" w:lineRule="exact"/>
        <w:ind w:left="0" w:leftChars="0" w:right="0" w:firstLine="640" w:firstLineChars="200"/>
        <w:textAlignment w:val="auto"/>
        <w:rPr>
          <w:rFonts w:ascii="仿宋_GB2312" w:eastAsia="仿宋_GB2312"/>
          <w:sz w:val="32"/>
          <w:szCs w:val="32"/>
        </w:rPr>
      </w:pPr>
      <w:r>
        <w:rPr>
          <w:rFonts w:hint="eastAsia" w:ascii="楷体_GB2312" w:hAnsi="楷体_GB2312" w:eastAsia="楷体_GB2312" w:cs="楷体_GB2312"/>
          <w:sz w:val="32"/>
          <w:szCs w:val="32"/>
          <w:lang w:eastAsia="zh-CN"/>
        </w:rPr>
        <w:t>二</w:t>
      </w:r>
      <w:r>
        <w:rPr>
          <w:rFonts w:hint="eastAsia" w:ascii="楷体_GB2312" w:hAnsi="楷体_GB2312" w:eastAsia="楷体_GB2312" w:cs="楷体_GB2312"/>
          <w:sz w:val="32"/>
          <w:szCs w:val="32"/>
        </w:rPr>
        <w:t>改进第三方测评方式</w:t>
      </w:r>
      <w:r>
        <w:rPr>
          <w:rFonts w:hint="eastAsia" w:ascii="楷体_GB2312" w:hAnsi="楷体_GB2312" w:eastAsia="楷体_GB2312" w:cs="楷体_GB2312"/>
          <w:sz w:val="32"/>
          <w:szCs w:val="32"/>
          <w:lang w:eastAsia="zh-CN"/>
        </w:rPr>
        <w:t>。</w:t>
      </w:r>
      <w:r>
        <w:rPr>
          <w:rFonts w:hint="eastAsia" w:ascii="仿宋_GB2312" w:eastAsia="仿宋_GB2312"/>
          <w:sz w:val="32"/>
          <w:szCs w:val="32"/>
        </w:rPr>
        <w:t>建议在选取第三方时应考察其对农贸市场管理的专业性及人员团队规模，应选取有农贸市场管理经验且人员结构稳定，可以满足本市农贸市场测评的单一第三方，每月选取固定时段开展测评。若第三方缺乏农贸市场管理的专业知识，则可聘请专家或农贸市场管理人员陪同参与，确保第三方测评的专业性及合理性。</w:t>
      </w:r>
    </w:p>
    <w:p>
      <w:pPr>
        <w:spacing w:line="560" w:lineRule="exact"/>
        <w:ind w:firstLine="640" w:firstLineChars="200"/>
        <w:rPr>
          <w:rStyle w:val="35"/>
          <w:rFonts w:ascii="黑体" w:hAnsi="黑体" w:eastAsia="黑体" w:cs="黑体"/>
          <w:color w:val="000000"/>
          <w:sz w:val="32"/>
          <w:szCs w:val="32"/>
        </w:rPr>
      </w:pPr>
      <w:r>
        <w:rPr>
          <w:rStyle w:val="35"/>
          <w:rFonts w:hint="eastAsia" w:ascii="黑体" w:hAnsi="黑体" w:eastAsia="黑体" w:cs="黑体"/>
          <w:color w:val="000000"/>
          <w:sz w:val="32"/>
          <w:szCs w:val="32"/>
        </w:rPr>
        <w:t>七、无其他说明事项</w:t>
      </w:r>
    </w:p>
    <w:p>
      <w:pPr>
        <w:wordWrap/>
        <w:spacing w:line="560" w:lineRule="exact"/>
        <w:ind w:right="0"/>
        <w:textAlignment w:val="auto"/>
        <w:outlineLvl w:val="0"/>
        <w:rPr>
          <w:rFonts w:hint="eastAsia" w:ascii="仿宋_GB2312" w:eastAsia="仿宋_GB2312"/>
          <w:sz w:val="32"/>
          <w:szCs w:val="32"/>
        </w:rPr>
      </w:pPr>
      <w:bookmarkStart w:id="10" w:name="_GoBack"/>
      <w:bookmarkEnd w:id="10"/>
    </w:p>
    <w:p>
      <w:pPr>
        <w:wordWrap/>
        <w:spacing w:line="560" w:lineRule="exact"/>
        <w:ind w:left="0" w:leftChars="0" w:right="0"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rPr>
        <w:t>附件</w:t>
      </w:r>
      <w:r>
        <w:rPr>
          <w:rFonts w:hint="eastAsia" w:ascii="仿宋_GB2312" w:eastAsia="仿宋_GB2312"/>
          <w:sz w:val="32"/>
          <w:szCs w:val="32"/>
          <w:lang w:val="en-US" w:eastAsia="zh-CN"/>
        </w:rPr>
        <w:t xml:space="preserve"> ：1.专项资金（一级）指标体系</w:t>
      </w:r>
    </w:p>
    <w:p>
      <w:pPr>
        <w:wordWrap/>
        <w:spacing w:line="560" w:lineRule="exact"/>
        <w:ind w:left="0" w:leftChars="0" w:right="0"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 xml:space="preserve">       2.三民活动情况通报</w:t>
      </w:r>
    </w:p>
    <w:p>
      <w:pPr>
        <w:spacing w:line="600" w:lineRule="exact"/>
        <w:rPr>
          <w:rFonts w:hint="eastAsia" w:ascii="宋体" w:hAnsi="宋体" w:eastAsia="宋体" w:cs="宋体"/>
          <w:sz w:val="32"/>
          <w:szCs w:val="32"/>
          <w:lang w:val="en-US" w:eastAsia="zh-CN"/>
        </w:rPr>
      </w:pPr>
    </w:p>
    <w:sectPr>
      <w:footerReference r:id="rId3" w:type="default"/>
      <w:pgSz w:w="11906" w:h="16838"/>
      <w:pgMar w:top="2098" w:right="1474" w:bottom="1985" w:left="158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icrosoft YaHei UI">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文星简黑体">
    <w:altName w:val="黑体"/>
    <w:panose1 w:val="00000000000000000000"/>
    <w:charset w:val="86"/>
    <w:family w:val="auto"/>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page" w:x="5731" w:y="-151"/>
      <w:rPr>
        <w:rStyle w:val="15"/>
        <w:sz w:val="24"/>
        <w:szCs w:val="24"/>
      </w:rPr>
    </w:pPr>
    <w:r>
      <w:rPr>
        <w:sz w:val="24"/>
        <w:szCs w:val="24"/>
      </w:rPr>
      <w:fldChar w:fldCharType="begin"/>
    </w:r>
    <w:r>
      <w:rPr>
        <w:rStyle w:val="15"/>
        <w:sz w:val="24"/>
        <w:szCs w:val="24"/>
      </w:rPr>
      <w:instrText xml:space="preserve">PAGE  </w:instrText>
    </w:r>
    <w:r>
      <w:rPr>
        <w:sz w:val="24"/>
        <w:szCs w:val="24"/>
      </w:rPr>
      <w:fldChar w:fldCharType="separate"/>
    </w:r>
    <w:r>
      <w:rPr>
        <w:rStyle w:val="15"/>
        <w:sz w:val="24"/>
        <w:szCs w:val="24"/>
      </w:rPr>
      <w:t>1</w:t>
    </w:r>
    <w:r>
      <w:rPr>
        <w:sz w:val="24"/>
        <w:szCs w:val="24"/>
      </w:rPr>
      <w:fldChar w:fldCharType="end"/>
    </w:r>
  </w:p>
  <w:p>
    <w:pPr>
      <w:pStyle w:val="6"/>
      <w:ind w:right="360" w:firstLine="360"/>
      <w:jc w:val="right"/>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29DEB6"/>
    <w:multiLevelType w:val="singleLevel"/>
    <w:tmpl w:val="2A29DEB6"/>
    <w:lvl w:ilvl="0" w:tentative="0">
      <w:start w:val="2"/>
      <w:numFmt w:val="chineseCounting"/>
      <w:suff w:val="nothing"/>
      <w:lvlText w:val="（%1）"/>
      <w:lvlJc w:val="left"/>
      <w:rPr>
        <w:rFonts w:hint="eastAsia"/>
      </w:rPr>
    </w:lvl>
  </w:abstractNum>
  <w:abstractNum w:abstractNumId="1">
    <w:nsid w:val="443A2516"/>
    <w:multiLevelType w:val="singleLevel"/>
    <w:tmpl w:val="443A2516"/>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7"/>
  <w:bordersDoNotSurroundHeader w:val="0"/>
  <w:bordersDoNotSurroundFooter w:val="0"/>
  <w:documentProtection w:enforcement="0"/>
  <w:defaultTabStop w:val="420"/>
  <w:drawingGridVerticalSpacing w:val="29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172A27"/>
    <w:rsid w:val="001E5281"/>
    <w:rsid w:val="01317CB4"/>
    <w:rsid w:val="08D71D8F"/>
    <w:rsid w:val="0C5E00D0"/>
    <w:rsid w:val="206D2DFC"/>
    <w:rsid w:val="20E36B8F"/>
    <w:rsid w:val="21491ABC"/>
    <w:rsid w:val="2A011DCD"/>
    <w:rsid w:val="2CF817F6"/>
    <w:rsid w:val="2D9B165F"/>
    <w:rsid w:val="463B0932"/>
    <w:rsid w:val="4F65441D"/>
    <w:rsid w:val="557158EF"/>
    <w:rsid w:val="5D394A3A"/>
    <w:rsid w:val="65F31824"/>
    <w:rsid w:val="68BC5099"/>
    <w:rsid w:val="69F23FB2"/>
    <w:rsid w:val="70DB2521"/>
    <w:rsid w:val="787B0D3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99" w:name="toc 4"/>
    <w:lsdException w:uiPriority="99" w:name="toc 5"/>
    <w:lsdException w:uiPriority="99" w:name="toc 6"/>
    <w:lsdException w:uiPriority="99" w:name="toc 7"/>
    <w:lsdException w:uiPriority="99" w:name="toc 8"/>
    <w:lsdException w:uiPriority="9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0" w:semiHidden="0" w:name="footer"/>
    <w:lsdException w:uiPriority="99" w:name="index heading"/>
    <w:lsdException w:uiPriority="99"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iPriority="99" w:name="Title"/>
    <w:lsdException w:uiPriority="99" w:name="Closing"/>
    <w:lsdException w:uiPriority="99" w:name="Signature"/>
    <w:lsdException w:qFormat="1" w:unhideWhenUsed="0"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uiPriority="99" w:name="Strong"/>
    <w:lsdException w:uiPriority="99" w:name="Emphasis"/>
    <w:lsdException w:qFormat="1" w:unhideWhenUsed="0" w:uiPriority="99" w:semiHidden="0"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nhideWhenUsed="0"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jc w:val="left"/>
    </w:pPr>
    <w:rPr>
      <w:rFonts w:ascii="宋体" w:hAnsi="宋体" w:eastAsia="宋体" w:cs="宋体"/>
      <w:kern w:val="0"/>
      <w:sz w:val="24"/>
      <w:szCs w:val="24"/>
      <w:lang w:val="en-US" w:eastAsia="zh-CN" w:bidi="ar-SA"/>
    </w:rPr>
  </w:style>
  <w:style w:type="paragraph" w:styleId="2">
    <w:name w:val="heading 1"/>
    <w:basedOn w:val="1"/>
    <w:next w:val="1"/>
    <w:link w:val="30"/>
    <w:qFormat/>
    <w:uiPriority w:val="9"/>
    <w:pPr>
      <w:keepNext/>
      <w:keepLines/>
      <w:widowControl w:val="0"/>
      <w:spacing w:before="340" w:after="330" w:line="578" w:lineRule="auto"/>
      <w:jc w:val="both"/>
      <w:outlineLvl w:val="0"/>
    </w:pPr>
    <w:rPr>
      <w:rFonts w:ascii="等线" w:hAnsi="等线" w:eastAsia="等线" w:cs="Arial"/>
      <w:b/>
      <w:bCs/>
      <w:kern w:val="44"/>
      <w:sz w:val="44"/>
      <w:szCs w:val="44"/>
    </w:rPr>
  </w:style>
  <w:style w:type="character" w:default="1" w:styleId="14">
    <w:name w:val="Default Paragraph Font"/>
    <w:qFormat/>
    <w:uiPriority w:val="1"/>
  </w:style>
  <w:style w:type="table" w:default="1" w:styleId="12">
    <w:name w:val="Normal Table"/>
    <w:qFormat/>
    <w:uiPriority w:val="99"/>
    <w:tblPr>
      <w:tblCellMar>
        <w:top w:w="0" w:type="dxa"/>
        <w:left w:w="108" w:type="dxa"/>
        <w:bottom w:w="0" w:type="dxa"/>
        <w:right w:w="108" w:type="dxa"/>
      </w:tblCellMar>
    </w:tblPr>
  </w:style>
  <w:style w:type="paragraph" w:styleId="3">
    <w:name w:val="Document Map"/>
    <w:basedOn w:val="1"/>
    <w:link w:val="28"/>
    <w:qFormat/>
    <w:uiPriority w:val="99"/>
    <w:pPr>
      <w:widowControl w:val="0"/>
      <w:jc w:val="both"/>
    </w:pPr>
    <w:rPr>
      <w:rFonts w:ascii="Microsoft YaHei UI" w:hAnsi="等线" w:eastAsia="Microsoft YaHei UI" w:cs="Arial"/>
      <w:kern w:val="2"/>
      <w:sz w:val="18"/>
      <w:szCs w:val="18"/>
    </w:rPr>
  </w:style>
  <w:style w:type="paragraph" w:styleId="4">
    <w:name w:val="toc 3"/>
    <w:basedOn w:val="1"/>
    <w:next w:val="1"/>
    <w:qFormat/>
    <w:uiPriority w:val="39"/>
    <w:pPr>
      <w:widowControl w:val="0"/>
      <w:ind w:left="840" w:leftChars="400"/>
      <w:jc w:val="both"/>
    </w:pPr>
    <w:rPr>
      <w:rFonts w:ascii="等线" w:hAnsi="等线" w:eastAsia="等线" w:cs="Arial"/>
      <w:kern w:val="2"/>
      <w:sz w:val="21"/>
      <w:szCs w:val="22"/>
    </w:rPr>
  </w:style>
  <w:style w:type="paragraph" w:styleId="5">
    <w:name w:val="Balloon Text"/>
    <w:basedOn w:val="1"/>
    <w:link w:val="34"/>
    <w:qFormat/>
    <w:uiPriority w:val="99"/>
    <w:rPr>
      <w:sz w:val="18"/>
      <w:szCs w:val="18"/>
    </w:rPr>
  </w:style>
  <w:style w:type="paragraph" w:styleId="6">
    <w:name w:val="footer"/>
    <w:basedOn w:val="1"/>
    <w:link w:val="27"/>
    <w:qFormat/>
    <w:uiPriority w:val="0"/>
    <w:pPr>
      <w:widowControl w:val="0"/>
      <w:tabs>
        <w:tab w:val="center" w:pos="4153"/>
        <w:tab w:val="right" w:pos="8306"/>
      </w:tabs>
      <w:snapToGrid w:val="0"/>
    </w:pPr>
    <w:rPr>
      <w:rFonts w:ascii="等线" w:hAnsi="等线" w:eastAsia="等线" w:cs="Arial"/>
      <w:kern w:val="2"/>
      <w:sz w:val="18"/>
      <w:szCs w:val="18"/>
    </w:rPr>
  </w:style>
  <w:style w:type="paragraph" w:styleId="7">
    <w:name w:val="header"/>
    <w:basedOn w:val="1"/>
    <w:link w:val="26"/>
    <w:qFormat/>
    <w:uiPriority w:val="99"/>
    <w:pPr>
      <w:widowControl w:val="0"/>
      <w:pBdr>
        <w:bottom w:val="single" w:color="auto" w:sz="6" w:space="1"/>
      </w:pBdr>
      <w:tabs>
        <w:tab w:val="center" w:pos="4153"/>
        <w:tab w:val="right" w:pos="8306"/>
      </w:tabs>
      <w:snapToGrid w:val="0"/>
      <w:jc w:val="center"/>
    </w:pPr>
    <w:rPr>
      <w:rFonts w:ascii="等线" w:hAnsi="等线" w:eastAsia="等线" w:cs="Arial"/>
      <w:kern w:val="2"/>
      <w:sz w:val="18"/>
      <w:szCs w:val="18"/>
    </w:rPr>
  </w:style>
  <w:style w:type="paragraph" w:styleId="8">
    <w:name w:val="toc 1"/>
    <w:basedOn w:val="1"/>
    <w:next w:val="1"/>
    <w:qFormat/>
    <w:uiPriority w:val="39"/>
    <w:pPr>
      <w:widowControl w:val="0"/>
      <w:jc w:val="both"/>
    </w:pPr>
    <w:rPr>
      <w:rFonts w:ascii="等线" w:hAnsi="等线" w:eastAsia="等线" w:cs="Arial"/>
      <w:kern w:val="2"/>
      <w:sz w:val="21"/>
      <w:szCs w:val="22"/>
    </w:rPr>
  </w:style>
  <w:style w:type="paragraph" w:styleId="9">
    <w:name w:val="Subtitle"/>
    <w:basedOn w:val="1"/>
    <w:next w:val="1"/>
    <w:link w:val="33"/>
    <w:qFormat/>
    <w:uiPriority w:val="11"/>
    <w:pPr>
      <w:widowControl w:val="0"/>
      <w:spacing w:before="240" w:after="60" w:line="312" w:lineRule="auto"/>
      <w:jc w:val="center"/>
      <w:outlineLvl w:val="1"/>
    </w:pPr>
    <w:rPr>
      <w:rFonts w:ascii="等线" w:hAnsi="等线" w:eastAsia="等线" w:cs="Arial"/>
      <w:b/>
      <w:bCs/>
      <w:kern w:val="28"/>
      <w:sz w:val="32"/>
      <w:szCs w:val="32"/>
    </w:rPr>
  </w:style>
  <w:style w:type="paragraph" w:styleId="10">
    <w:name w:val="toc 2"/>
    <w:basedOn w:val="1"/>
    <w:next w:val="1"/>
    <w:qFormat/>
    <w:uiPriority w:val="39"/>
    <w:pPr>
      <w:widowControl w:val="0"/>
      <w:tabs>
        <w:tab w:val="right" w:leader="dot" w:pos="8296"/>
      </w:tabs>
      <w:spacing w:line="360" w:lineRule="auto"/>
      <w:ind w:left="420" w:leftChars="200"/>
      <w:jc w:val="both"/>
    </w:pPr>
    <w:rPr>
      <w:rFonts w:cs="Arial"/>
      <w:kern w:val="2"/>
      <w:szCs w:val="22"/>
    </w:rPr>
  </w:style>
  <w:style w:type="paragraph" w:styleId="11">
    <w:name w:val="Normal (Web)"/>
    <w:basedOn w:val="1"/>
    <w:qFormat/>
    <w:uiPriority w:val="0"/>
    <w:pPr>
      <w:spacing w:before="100" w:beforeAutospacing="1" w:after="100" w:afterAutospacing="1"/>
    </w:pPr>
  </w:style>
  <w:style w:type="table" w:styleId="13">
    <w:name w:val="Table Grid"/>
    <w:basedOn w:val="1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qFormat/>
    <w:uiPriority w:val="0"/>
  </w:style>
  <w:style w:type="character" w:styleId="16">
    <w:name w:val="Hyperlink"/>
    <w:basedOn w:val="14"/>
    <w:qFormat/>
    <w:uiPriority w:val="99"/>
    <w:rPr>
      <w:color w:val="0563C1"/>
      <w:u w:val="single"/>
    </w:rPr>
  </w:style>
  <w:style w:type="paragraph" w:customStyle="1" w:styleId="17">
    <w:name w:val="Char1"/>
    <w:basedOn w:val="3"/>
    <w:qFormat/>
    <w:uiPriority w:val="0"/>
    <w:pPr>
      <w:shd w:val="clear" w:color="auto" w:fill="000080"/>
      <w:adjustRightInd w:val="0"/>
      <w:spacing w:line="436" w:lineRule="exact"/>
      <w:ind w:left="357"/>
      <w:jc w:val="left"/>
      <w:outlineLvl w:val="3"/>
    </w:pPr>
    <w:rPr>
      <w:rFonts w:ascii="Tahoma" w:hAnsi="Tahoma" w:eastAsia="宋体" w:cs="Times New Roman"/>
      <w:b/>
      <w:sz w:val="24"/>
      <w:szCs w:val="24"/>
    </w:rPr>
  </w:style>
  <w:style w:type="paragraph" w:customStyle="1" w:styleId="18">
    <w:name w:val="图表"/>
    <w:basedOn w:val="1"/>
    <w:link w:val="29"/>
    <w:qFormat/>
    <w:uiPriority w:val="0"/>
    <w:pPr>
      <w:widowControl w:val="0"/>
      <w:adjustRightInd w:val="0"/>
      <w:snapToGrid w:val="0"/>
      <w:spacing w:line="360" w:lineRule="auto"/>
      <w:jc w:val="center"/>
    </w:pPr>
    <w:rPr>
      <w:rFonts w:ascii="Times New Roman" w:hAnsi="Times New Roman" w:eastAsia="仿宋_GB2312" w:cs="Times New Roman"/>
      <w:kern w:val="2"/>
      <w:sz w:val="21"/>
      <w:shd w:val="clear" w:color="auto" w:fill="FFFFFF"/>
      <w:lang w:val="zh-CN" w:eastAsia="zh-CN"/>
    </w:rPr>
  </w:style>
  <w:style w:type="paragraph" w:customStyle="1" w:styleId="19">
    <w:name w:val="闻政页码"/>
    <w:qFormat/>
    <w:uiPriority w:val="6"/>
    <w:pPr>
      <w:widowControl/>
      <w:jc w:val="center"/>
    </w:pPr>
    <w:rPr>
      <w:rFonts w:ascii="Times New Roman" w:hAnsi="Times New Roman" w:eastAsia="Times New Roman" w:cs="Times New Roman"/>
      <w:kern w:val="0"/>
      <w:sz w:val="21"/>
      <w:szCs w:val="28"/>
      <w:lang w:val="en-US" w:eastAsia="zh-CN" w:bidi="ar-SA"/>
    </w:rPr>
  </w:style>
  <w:style w:type="paragraph" w:customStyle="1" w:styleId="20">
    <w:name w:val="TOC Heading_41ccc44e-9aab-458a-a821-5615c037c16e"/>
    <w:basedOn w:val="2"/>
    <w:next w:val="1"/>
    <w:qFormat/>
    <w:uiPriority w:val="39"/>
    <w:pPr>
      <w:widowControl/>
      <w:spacing w:before="240" w:after="0" w:line="259" w:lineRule="auto"/>
      <w:jc w:val="left"/>
      <w:outlineLvl w:val="9"/>
    </w:pPr>
    <w:rPr>
      <w:rFonts w:ascii="等线 Light" w:hAnsi="等线 Light" w:eastAsia="等线 Light" w:cs="Times New Roman"/>
      <w:b w:val="0"/>
      <w:bCs w:val="0"/>
      <w:color w:val="2F5597"/>
      <w:kern w:val="0"/>
      <w:sz w:val="32"/>
      <w:szCs w:val="32"/>
    </w:rPr>
  </w:style>
  <w:style w:type="paragraph" w:customStyle="1" w:styleId="21">
    <w:name w:val="文件正文"/>
    <w:basedOn w:val="9"/>
    <w:qFormat/>
    <w:uiPriority w:val="2"/>
    <w:pPr>
      <w:spacing w:before="0" w:after="0" w:line="560" w:lineRule="exact"/>
      <w:ind w:firstLine="622" w:firstLineChars="200"/>
      <w:jc w:val="both"/>
      <w:outlineLvl w:val="9"/>
    </w:pPr>
    <w:rPr>
      <w:rFonts w:ascii="仿宋_GB2312" w:hAnsi="仿宋_GB2312" w:eastAsia="仿宋_GB2312" w:cs="仿宋_GB2312"/>
      <w:b w:val="0"/>
      <w:bCs w:val="0"/>
      <w:kern w:val="2"/>
    </w:rPr>
  </w:style>
  <w:style w:type="paragraph" w:customStyle="1" w:styleId="22">
    <w:name w:val="Char Char Char Char"/>
    <w:basedOn w:val="1"/>
    <w:qFormat/>
    <w:uiPriority w:val="0"/>
    <w:pPr>
      <w:widowControl w:val="0"/>
      <w:spacing w:line="240" w:lineRule="atLeast"/>
      <w:ind w:left="420" w:firstLine="420"/>
      <w:jc w:val="both"/>
    </w:pPr>
    <w:rPr>
      <w:rFonts w:ascii="Times New Roman" w:hAnsi="Times New Roman" w:cs="Times New Roman"/>
      <w:sz w:val="21"/>
      <w:szCs w:val="21"/>
    </w:rPr>
  </w:style>
  <w:style w:type="paragraph" w:customStyle="1" w:styleId="23">
    <w:name w:val="二级"/>
    <w:basedOn w:val="24"/>
    <w:qFormat/>
    <w:uiPriority w:val="99"/>
    <w:pPr>
      <w:outlineLvl w:val="1"/>
    </w:pPr>
  </w:style>
  <w:style w:type="paragraph" w:customStyle="1" w:styleId="24">
    <w:name w:val="UserStyle_172"/>
    <w:basedOn w:val="1"/>
    <w:qFormat/>
    <w:uiPriority w:val="99"/>
    <w:pPr>
      <w:spacing w:line="580" w:lineRule="exact"/>
      <w:ind w:firstLine="640" w:firstLineChars="200"/>
    </w:pPr>
    <w:rPr>
      <w:rFonts w:ascii="Times New Roman" w:hAnsi="Times New Roman" w:eastAsia="楷体_GB2312"/>
      <w:sz w:val="32"/>
      <w:szCs w:val="20"/>
    </w:rPr>
  </w:style>
  <w:style w:type="paragraph" w:customStyle="1" w:styleId="25">
    <w:name w:val="三级"/>
    <w:basedOn w:val="1"/>
    <w:qFormat/>
    <w:uiPriority w:val="99"/>
    <w:pPr>
      <w:spacing w:line="580" w:lineRule="exact"/>
      <w:ind w:firstLine="600" w:firstLineChars="200"/>
      <w:outlineLvl w:val="2"/>
    </w:pPr>
    <w:rPr>
      <w:rFonts w:ascii="Times New Roman" w:hAnsi="Times New Roman" w:eastAsia="楷体_GB2312"/>
      <w:sz w:val="30"/>
      <w:szCs w:val="30"/>
    </w:rPr>
  </w:style>
  <w:style w:type="character" w:customStyle="1" w:styleId="26">
    <w:name w:val="页眉 字符"/>
    <w:basedOn w:val="14"/>
    <w:link w:val="7"/>
    <w:qFormat/>
    <w:uiPriority w:val="99"/>
    <w:rPr>
      <w:sz w:val="18"/>
      <w:szCs w:val="18"/>
    </w:rPr>
  </w:style>
  <w:style w:type="character" w:customStyle="1" w:styleId="27">
    <w:name w:val="页脚 字符"/>
    <w:basedOn w:val="14"/>
    <w:link w:val="6"/>
    <w:qFormat/>
    <w:uiPriority w:val="99"/>
    <w:rPr>
      <w:sz w:val="18"/>
      <w:szCs w:val="18"/>
    </w:rPr>
  </w:style>
  <w:style w:type="character" w:customStyle="1" w:styleId="28">
    <w:name w:val="文档结构图 字符"/>
    <w:basedOn w:val="14"/>
    <w:link w:val="3"/>
    <w:qFormat/>
    <w:uiPriority w:val="99"/>
    <w:rPr>
      <w:rFonts w:ascii="Microsoft YaHei UI" w:eastAsia="Microsoft YaHei UI"/>
      <w:sz w:val="18"/>
      <w:szCs w:val="18"/>
    </w:rPr>
  </w:style>
  <w:style w:type="character" w:customStyle="1" w:styleId="29">
    <w:name w:val="图表 Char"/>
    <w:link w:val="18"/>
    <w:qFormat/>
    <w:uiPriority w:val="0"/>
    <w:rPr>
      <w:rFonts w:ascii="Times New Roman" w:hAnsi="Times New Roman" w:eastAsia="仿宋_GB2312" w:cs="Times New Roman"/>
      <w:szCs w:val="24"/>
      <w:lang w:val="zh-CN" w:eastAsia="zh-CN"/>
    </w:rPr>
  </w:style>
  <w:style w:type="character" w:customStyle="1" w:styleId="30">
    <w:name w:val="标题 1 字符"/>
    <w:basedOn w:val="14"/>
    <w:link w:val="2"/>
    <w:qFormat/>
    <w:uiPriority w:val="9"/>
    <w:rPr>
      <w:b/>
      <w:bCs/>
      <w:kern w:val="44"/>
      <w:sz w:val="44"/>
      <w:szCs w:val="44"/>
    </w:rPr>
  </w:style>
  <w:style w:type="character" w:customStyle="1" w:styleId="31">
    <w:name w:val="font71"/>
    <w:qFormat/>
    <w:uiPriority w:val="0"/>
    <w:rPr>
      <w:rFonts w:hint="eastAsia" w:ascii="宋体" w:hAnsi="宋体" w:eastAsia="宋体" w:cs="宋体"/>
      <w:color w:val="000000"/>
      <w:sz w:val="18"/>
      <w:szCs w:val="18"/>
      <w:u w:val="none"/>
    </w:rPr>
  </w:style>
  <w:style w:type="character" w:customStyle="1" w:styleId="32">
    <w:name w:val="font61"/>
    <w:qFormat/>
    <w:uiPriority w:val="0"/>
    <w:rPr>
      <w:rFonts w:hint="eastAsia" w:ascii="仿宋_GB2312" w:eastAsia="仿宋_GB2312" w:cs="仿宋_GB2312"/>
      <w:color w:val="000000"/>
      <w:sz w:val="18"/>
      <w:szCs w:val="18"/>
      <w:u w:val="none"/>
    </w:rPr>
  </w:style>
  <w:style w:type="character" w:customStyle="1" w:styleId="33">
    <w:name w:val="副标题 字符"/>
    <w:basedOn w:val="14"/>
    <w:link w:val="9"/>
    <w:qFormat/>
    <w:uiPriority w:val="11"/>
    <w:rPr>
      <w:b/>
      <w:bCs/>
      <w:kern w:val="28"/>
      <w:sz w:val="32"/>
      <w:szCs w:val="32"/>
    </w:rPr>
  </w:style>
  <w:style w:type="character" w:customStyle="1" w:styleId="34">
    <w:name w:val="批注框文本 字符"/>
    <w:basedOn w:val="14"/>
    <w:link w:val="5"/>
    <w:qFormat/>
    <w:uiPriority w:val="99"/>
    <w:rPr>
      <w:rFonts w:ascii="宋体" w:hAnsi="宋体" w:eastAsia="宋体" w:cs="宋体"/>
      <w:kern w:val="0"/>
      <w:sz w:val="18"/>
      <w:szCs w:val="18"/>
    </w:rPr>
  </w:style>
  <w:style w:type="character" w:customStyle="1" w:styleId="35">
    <w:name w:val="NormalCharacter"/>
    <w:qFormat/>
    <w:uiPriority w:val="99"/>
  </w:style>
  <w:style w:type="character" w:customStyle="1" w:styleId="36">
    <w:name w:val="font11"/>
    <w:basedOn w:val="14"/>
    <w:qFormat/>
    <w:uiPriority w:val="0"/>
    <w:rPr>
      <w:rFonts w:hint="eastAsia" w:ascii="仿宋_GB2312" w:eastAsia="仿宋_GB2312" w:cs="仿宋_GB2312"/>
      <w:color w:val="000000"/>
      <w:sz w:val="22"/>
      <w:szCs w:val="22"/>
      <w:u w:val="none"/>
    </w:rPr>
  </w:style>
  <w:style w:type="character" w:customStyle="1" w:styleId="37">
    <w:name w:val="font01"/>
    <w:basedOn w:val="14"/>
    <w:qFormat/>
    <w:uiPriority w:val="0"/>
    <w:rPr>
      <w:rFonts w:ascii="Arial" w:hAnsi="Arial" w:cs="Arial"/>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9776</Words>
  <Characters>10300</Characters>
  <Lines>0</Lines>
  <Paragraphs>748</Paragraphs>
  <TotalTime>2</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2020-10-16T04:49:00Z</dcterms:created>
  <dc:creator>浦 佳悦</dc:creator>
  <cp:lastModifiedBy>小黑</cp:lastModifiedBy>
  <cp:lastPrinted>2021-06-03T00:56:00Z</cp:lastPrinted>
  <dcterms:modified xsi:type="dcterms:W3CDTF">2021-06-03T06:25:52Z</dcterms:modified>
  <dc:title>2020年度星级农贸市场创建</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y fmtid="{D5CDD505-2E9C-101B-9397-08002B2CF9AE}" pid="3" name="ICV">
    <vt:lpwstr>1c299a5c5010442d8118b4f1682b21cf</vt:lpwstr>
  </property>
</Properties>
</file>