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2024年度校企合作经费项目绩效评价报告</w:t>
      </w:r>
    </w:p>
    <w:p>
      <w:pPr>
        <w:spacing w:line="600" w:lineRule="exact"/>
        <w:rPr>
          <w:rFonts w:ascii="楷体_GB2312" w:hAnsi="楷体_GB2312" w:eastAsia="楷体_GB2312" w:cs="楷体_GB2312"/>
          <w:sz w:val="32"/>
          <w:szCs w:val="40"/>
        </w:rPr>
      </w:pPr>
    </w:p>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一、项目基本情况</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（一）项目概况</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1.项目背景</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为贯彻落实《国务院关于加快发展现代职业教育的决定》（国发〔2014〕19号）和《教育部关于开展现代学徒制试点工作的意见》（教职成〔2014〕9号）文件精神，深化产教融合、校企合作，推进校企一体化人才培养模式改革，提高技术技能人才培养质量，我市发布《青岛市现代学徒试点工作实施方案》（青教通字〔2016〕1号），提出建立具有青岛特色的现代学徒制度，以服务发展为宗旨，以促进就业为导向，以推进产教融合、适应需求、提高质量为目标，以学生技术技能培养为核心，以教师、师傅联合传授为支撑，全面提升学生的技术技能和职业素养，推进职业教育体制机制创新，促进职业教育人才培养模式由学校主导向校企双主体育人过渡。</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2.项目主要内容</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根据《青岛市现代学徒试点工作实施方案》（青教通字〔2016〕1号）、《关于印发〈青岛市职业教育校企合作专项经费管理办法（试行）〉的通知》（青教通字〔2017〕52号），企业每接收1名学徒并经考核达到学徒培养标准，按平均5000 元标准补助企业，补助资金主要用于带学徒师傅的奖励津贴、企业的水电、耗材等。2024年安排2000名学生参加试点项目。</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3.项目实施情况</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2024年度第六批校企合作经费项目由青岛市教育局作为项目主管单位，23所中职院校、5所高职院校作为具体实施单位，计划培训学徒2000人，经验收，项目实际培训学徒1970人。其中，青岛市城阳区职业教育中心学校计划培训80人，实际完成50人培训任务。各项目实施情况如下表所示：</w:t>
      </w:r>
    </w:p>
    <w:tbl>
      <w:tblPr>
        <w:tblStyle w:val="11"/>
        <w:tblW w:w="8720" w:type="dxa"/>
        <w:tblInd w:w="0" w:type="dxa"/>
        <w:tblLayout w:type="fixed"/>
        <w:tblCellMar>
          <w:top w:w="0" w:type="dxa"/>
          <w:left w:w="108" w:type="dxa"/>
          <w:bottom w:w="0" w:type="dxa"/>
          <w:right w:w="108" w:type="dxa"/>
        </w:tblCellMar>
      </w:tblPr>
      <w:tblGrid>
        <w:gridCol w:w="417"/>
        <w:gridCol w:w="2230"/>
        <w:gridCol w:w="1718"/>
        <w:gridCol w:w="2911"/>
        <w:gridCol w:w="1444"/>
      </w:tblGrid>
      <w:tr>
        <w:tblPrEx>
          <w:tblLayout w:type="fixed"/>
          <w:tblCellMar>
            <w:top w:w="0" w:type="dxa"/>
            <w:left w:w="108" w:type="dxa"/>
            <w:bottom w:w="0" w:type="dxa"/>
            <w:right w:w="108" w:type="dxa"/>
          </w:tblCellMar>
        </w:tblPrEx>
        <w:trPr>
          <w:trHeight w:val="579" w:hRule="atLeast"/>
        </w:trPr>
        <w:tc>
          <w:tcPr>
            <w:tcW w:w="417" w:type="dxa"/>
            <w:vMerge w:val="restart"/>
            <w:tcBorders>
              <w:top w:val="single" w:color="auto" w:sz="8" w:space="0"/>
              <w:left w:val="single" w:color="auto" w:sz="8" w:space="0"/>
              <w:bottom w:val="single" w:color="000000" w:sz="8"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序号</w:t>
            </w:r>
          </w:p>
        </w:tc>
        <w:tc>
          <w:tcPr>
            <w:tcW w:w="223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学校</w:t>
            </w:r>
          </w:p>
        </w:tc>
        <w:tc>
          <w:tcPr>
            <w:tcW w:w="171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专业</w:t>
            </w:r>
          </w:p>
        </w:tc>
        <w:tc>
          <w:tcPr>
            <w:tcW w:w="291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合作企业</w:t>
            </w:r>
          </w:p>
        </w:tc>
        <w:tc>
          <w:tcPr>
            <w:tcW w:w="144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计划培训人数</w:t>
            </w:r>
          </w:p>
        </w:tc>
      </w:tr>
      <w:tr>
        <w:tblPrEx>
          <w:tblLayout w:type="fixed"/>
          <w:tblCellMar>
            <w:top w:w="0" w:type="dxa"/>
            <w:left w:w="108" w:type="dxa"/>
            <w:bottom w:w="0" w:type="dxa"/>
            <w:right w:w="108" w:type="dxa"/>
          </w:tblCellMar>
        </w:tblPrEx>
        <w:trPr>
          <w:trHeight w:val="420" w:hRule="atLeast"/>
        </w:trPr>
        <w:tc>
          <w:tcPr>
            <w:tcW w:w="417" w:type="dxa"/>
            <w:vMerge w:val="continue"/>
            <w:tcBorders>
              <w:top w:val="single" w:color="auto" w:sz="8" w:space="0"/>
              <w:left w:val="single" w:color="auto" w:sz="8" w:space="0"/>
              <w:bottom w:val="single" w:color="000000" w:sz="8" w:space="0"/>
              <w:right w:val="single" w:color="auto" w:sz="4" w:space="0"/>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4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r>
      <w:tr>
        <w:tblPrEx>
          <w:tblLayout w:type="fixed"/>
          <w:tblCellMar>
            <w:top w:w="0" w:type="dxa"/>
            <w:left w:w="108" w:type="dxa"/>
            <w:bottom w:w="0" w:type="dxa"/>
            <w:right w:w="108" w:type="dxa"/>
          </w:tblCellMar>
        </w:tblPrEx>
        <w:trPr>
          <w:trHeight w:val="648"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230"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青岛外事服务职业学校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国际货运代理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新海丰物流有限公司青岛分公司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56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青岛翔通报关行有限公司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96"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青岛乐盈汇跨境电商有限公司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r>
      <w:tr>
        <w:tblPrEx>
          <w:tblLayout w:type="fixed"/>
          <w:tblCellMar>
            <w:top w:w="0" w:type="dxa"/>
            <w:left w:w="108" w:type="dxa"/>
            <w:bottom w:w="0" w:type="dxa"/>
            <w:right w:w="108" w:type="dxa"/>
          </w:tblCellMar>
        </w:tblPrEx>
        <w:trPr>
          <w:trHeight w:val="50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山东鑫启点电子商务有限公司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r>
      <w:tr>
        <w:tblPrEx>
          <w:tblLayout w:type="fixed"/>
          <w:tblCellMar>
            <w:top w:w="0" w:type="dxa"/>
            <w:left w:w="108" w:type="dxa"/>
            <w:bottom w:w="0" w:type="dxa"/>
            <w:right w:w="108" w:type="dxa"/>
          </w:tblCellMar>
        </w:tblPrEx>
        <w:trPr>
          <w:trHeight w:val="600" w:hRule="atLeast"/>
        </w:trPr>
        <w:tc>
          <w:tcPr>
            <w:tcW w:w="417" w:type="dxa"/>
            <w:tcBorders>
              <w:top w:val="single" w:color="auto" w:sz="8" w:space="0"/>
              <w:left w:val="single" w:color="auto" w:sz="8" w:space="0"/>
              <w:bottom w:val="single" w:color="auto"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2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青岛交通职业学校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汽车运用与维修</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青岛北方建达集团有限公司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2230"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青岛华夏职业学校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会计事务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山东迅程教育科技有限公司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动漫与游戏设计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青岛岩康智能科技有限公司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电子商务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青岛麦秋商贸有限公司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2230" w:type="dxa"/>
            <w:vMerge w:val="restart"/>
            <w:tcBorders>
              <w:top w:val="single" w:color="auto" w:sz="4" w:space="0"/>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青岛经济职业学校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首饰设计与制作</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青岛吉母皮亚珠宝有限公司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青岛芙蕾雅文化传播有限公司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636"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眼视光与配镜</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深圳前海卫尔斯眼科医院有限公司青岛分公司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8" w:space="0"/>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223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青岛旅游学校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高星级饭店运营与管理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青岛黄海饭店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single" w:color="auto" w:sz="8" w:space="0"/>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青岛国信海天大酒店有限公司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青岛烹饪职业学校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西餐烹饪</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青岛金沙滩希尔顿酒店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青岛颐中皇冠假日酒店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高星级饭店运营与管理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青岛颐中皇冠假日酒店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青岛鲁商凯悦酒店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青岛鑫江温德姆酒店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中餐烹饪</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青岛鑫江温德姆酒店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青岛鲁商凯悦酒店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中式面点</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青岛金沙滩希尔顿酒店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2230"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青岛电子学校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物联网技术应用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青岛智动精工电子有限公司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青岛汇泉王朝大饭店有限公司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数字媒体技术应用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青岛成玺文化传媒有限公司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青岛广播电视台</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青岛有崂文旅产业发展有限公司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青岛新城市创意科技有限公司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工业互联网</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山东锐华系统集成有限公司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青岛鼎新电子科技有限公司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24" w:hRule="atLeast"/>
        </w:trPr>
        <w:tc>
          <w:tcPr>
            <w:tcW w:w="417" w:type="dxa"/>
            <w:tcBorders>
              <w:top w:val="single" w:color="auto" w:sz="8" w:space="0"/>
              <w:left w:val="single" w:color="auto" w:sz="8" w:space="0"/>
              <w:bottom w:val="single" w:color="auto"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22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青岛商务学校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酿造工艺与技术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青岛唯麦生物科技有限公司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tcBorders>
              <w:top w:val="nil"/>
              <w:left w:val="single" w:color="auto" w:sz="8" w:space="0"/>
              <w:bottom w:val="single" w:color="auto"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223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青岛工贸职业学校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模具设计与制造</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青岛海尔电子塑胶有限公司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青岛城市管理职业学校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物业服务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山东多邦物业管理有限公司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界面设计与制作</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青岛蓝海工长装饰工程有限公司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电子商务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青岛日日新信息服务有限公司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青岛网萌企业管理有限公司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8" w:space="0"/>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青岛财经职业学校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环境监测技术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青岛明华电子有限公司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计算机应用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青岛缤纷网络科技有限公司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青岛岩康传媒有限公司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24" w:hRule="atLeast"/>
        </w:trPr>
        <w:tc>
          <w:tcPr>
            <w:tcW w:w="417" w:type="dxa"/>
            <w:tcBorders>
              <w:top w:val="single" w:color="auto" w:sz="8" w:space="0"/>
              <w:left w:val="single" w:color="auto" w:sz="8" w:space="0"/>
              <w:bottom w:val="single" w:color="auto"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223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青岛艺术学校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人物形象设计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青岛拉斐派瑞投资有限公司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22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青岛幼儿师范学校</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幼儿保育</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青岛市实验幼儿园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青岛幼儿师范附属幼儿园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青岛江西路幼儿园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青岛市延吉路幼儿园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青岛市李沧区奇峰路幼儿园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青岛市崂山金融区实验幼儿园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青岛市桦川路幼儿园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青岛市金钥匙幼儿园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8" w:space="0"/>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22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山东省轻工工程学校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电气设备运行与控制</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青岛鸿普电气科技有限公司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模具制造技术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青岛海泰科模具有限公司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药品食品检验</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青岛新希望琴牌乳业有限公司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c>
          <w:tcPr>
            <w:tcW w:w="2230" w:type="dxa"/>
            <w:vMerge w:val="restart"/>
            <w:tcBorders>
              <w:top w:val="nil"/>
              <w:left w:val="nil"/>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青岛高新职业学校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机电技术应用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青岛高科通信股份有限公司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w:t>
            </w:r>
          </w:p>
        </w:tc>
      </w:tr>
      <w:tr>
        <w:tblPrEx>
          <w:tblLayout w:type="fixed"/>
          <w:tblCellMar>
            <w:top w:w="0" w:type="dxa"/>
            <w:left w:w="108" w:type="dxa"/>
            <w:bottom w:w="0" w:type="dxa"/>
            <w:right w:w="108" w:type="dxa"/>
          </w:tblCellMar>
        </w:tblPrEx>
        <w:trPr>
          <w:trHeight w:val="624" w:hRule="atLeast"/>
        </w:trPr>
        <w:tc>
          <w:tcPr>
            <w:tcW w:w="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nil"/>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服装设计与工艺</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青岛雪达集团有限公司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22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青岛市城阳区职业教育中心学校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数控技术应用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青特集团有限公司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服装设计与工艺</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库特智能股份有限公司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22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青岛市城阳区职业中等专业学校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汽车运用与维修</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青岛市世成达汽车服务有限公司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幼儿保育</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城阳区金色摇篮幼儿园</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建筑工程施工</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青岛新世纪预制构件有限公司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420"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胶州市职业教育中心学校</w:t>
            </w:r>
          </w:p>
        </w:tc>
        <w:tc>
          <w:tcPr>
            <w:tcW w:w="1718"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数控技术应用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青岛丰光精密机械股份有限公司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50</w:t>
            </w:r>
          </w:p>
        </w:tc>
      </w:tr>
      <w:tr>
        <w:tblPrEx>
          <w:tblLayout w:type="fixed"/>
          <w:tblCellMar>
            <w:top w:w="0" w:type="dxa"/>
            <w:left w:w="108" w:type="dxa"/>
            <w:bottom w:w="0" w:type="dxa"/>
            <w:right w:w="108" w:type="dxa"/>
          </w:tblCellMar>
        </w:tblPrEx>
        <w:trPr>
          <w:trHeight w:val="636"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高星级饭店运营与管理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青岛君廷酒店管理有限公司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8" w:space="0"/>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青岛西海岸新区职业中等专业学校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机电技术应用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青岛海信日立空调系统有限公司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648" w:hRule="atLeast"/>
        </w:trPr>
        <w:tc>
          <w:tcPr>
            <w:tcW w:w="417" w:type="dxa"/>
            <w:vMerge w:val="continue"/>
            <w:tcBorders>
              <w:top w:val="single" w:color="auto" w:sz="8" w:space="0"/>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新能源汽车运用与维修</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上汽通用五菱汽车股份有限公司青岛分公司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630"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青岛西海岸新区高级职业技术学校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数控技术应用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澳柯玛股份有限公司制造分公司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动漫与游戏制作</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青岛白鲸影视科技有限公司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900" w:hRule="atLeast"/>
        </w:trPr>
        <w:tc>
          <w:tcPr>
            <w:tcW w:w="417" w:type="dxa"/>
            <w:vMerge w:val="restart"/>
            <w:tcBorders>
              <w:top w:val="nil"/>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青岛西海岸新区中德应用技术学校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物联网技术应用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山东海创智教数字科技有限公司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936"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高星级饭店运营与管理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万豪酒店集团--青岛李沧绿城喜来登酒店（青岛绿城华川置业有限公司喜来登酒店14）</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14</w:t>
            </w:r>
          </w:p>
        </w:tc>
      </w:tr>
      <w:tr>
        <w:tblPrEx>
          <w:tblLayout w:type="fixed"/>
          <w:tblCellMar>
            <w:top w:w="0" w:type="dxa"/>
            <w:left w:w="108" w:type="dxa"/>
            <w:bottom w:w="0" w:type="dxa"/>
            <w:right w:w="108" w:type="dxa"/>
          </w:tblCellMar>
        </w:tblPrEx>
        <w:trPr>
          <w:trHeight w:val="936"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万豪酒店集团--青岛西海岸苏菲喜来登酒店（青岛苏菲时代酒店管理有限公司西海岸苏菲喜来登酒店）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r>
      <w:tr>
        <w:tblPrEx>
          <w:tblLayout w:type="fixed"/>
          <w:tblCellMar>
            <w:top w:w="0" w:type="dxa"/>
            <w:left w:w="108" w:type="dxa"/>
            <w:bottom w:w="0" w:type="dxa"/>
            <w:right w:w="108" w:type="dxa"/>
          </w:tblCellMar>
        </w:tblPrEx>
        <w:trPr>
          <w:trHeight w:val="1248"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青岛东方影都皇冠假日酒店（青岛海发商业管理有限公司黄岛星海分公司）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r>
      <w:tr>
        <w:tblPrEx>
          <w:tblLayout w:type="fixed"/>
          <w:tblCellMar>
            <w:top w:w="0" w:type="dxa"/>
            <w:left w:w="108" w:type="dxa"/>
            <w:bottom w:w="0" w:type="dxa"/>
            <w:right w:w="108" w:type="dxa"/>
          </w:tblCellMar>
        </w:tblPrEx>
        <w:trPr>
          <w:trHeight w:val="948" w:hRule="atLeast"/>
        </w:trPr>
        <w:tc>
          <w:tcPr>
            <w:tcW w:w="417" w:type="dxa"/>
            <w:vMerge w:val="continue"/>
            <w:tcBorders>
              <w:top w:val="nil"/>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机电技术应用</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山东天宇昶通能源集团</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2230" w:type="dxa"/>
            <w:vMerge w:val="restart"/>
            <w:tcBorders>
              <w:top w:val="nil"/>
              <w:left w:val="single" w:color="auto" w:sz="4" w:space="0"/>
              <w:bottom w:val="nil"/>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平度市职业教育中心学校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农村电气技术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青岛海达盛冷凝器有限公司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nil"/>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农产品贮藏与加工</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青岛波尼亚食品集团有限公司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624" w:hRule="atLeast"/>
        </w:trPr>
        <w:tc>
          <w:tcPr>
            <w:tcW w:w="417" w:type="dxa"/>
            <w:vMerge w:val="restart"/>
            <w:tcBorders>
              <w:top w:val="single" w:color="auto" w:sz="8" w:space="0"/>
              <w:left w:val="single" w:color="auto" w:sz="8" w:space="0"/>
              <w:bottom w:val="single" w:color="000000" w:sz="8"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223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莱西市职业教育中心学校</w:t>
            </w:r>
          </w:p>
        </w:tc>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汽车运用与维修</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上汽通用五菱汽车股份有限公司青岛分公司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624" w:hRule="atLeast"/>
        </w:trPr>
        <w:tc>
          <w:tcPr>
            <w:tcW w:w="417" w:type="dxa"/>
            <w:vMerge w:val="continue"/>
            <w:tcBorders>
              <w:top w:val="single" w:color="auto" w:sz="8" w:space="0"/>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新能源汽车运用与维修</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上汽通用五菱汽车股份有限公司青岛分公司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中餐烹饪</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青岛索菲亚国际大酒店有限公司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single" w:color="auto" w:sz="8" w:space="0"/>
              <w:left w:val="single" w:color="auto" w:sz="8" w:space="0"/>
              <w:bottom w:val="single" w:color="000000" w:sz="8"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青岛中航翔通酒店管理有限公司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624"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青岛职业技术学院</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产品艺术设计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无限三维（青岛）打印技术产业研究院有限公司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大数据与会计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青岛企慧升企服科技有限公司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青岛明达尔管理咨询集团有限公司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健身指导与管理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青岛英派斯（集团）有限公司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休闲服务与管理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青岛国际高尔夫俱乐部有限公司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8" w:space="0"/>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青岛幼儿师范高等专科学校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学前教育</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北京大爱幼管教育科技有限公司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w:t>
            </w:r>
          </w:p>
        </w:tc>
      </w:tr>
      <w:tr>
        <w:tblPrEx>
          <w:tblLayout w:type="fixed"/>
          <w:tblCellMar>
            <w:top w:w="0" w:type="dxa"/>
            <w:left w:w="108" w:type="dxa"/>
            <w:bottom w:w="0" w:type="dxa"/>
            <w:right w:w="108" w:type="dxa"/>
          </w:tblCellMar>
        </w:tblPrEx>
        <w:trPr>
          <w:trHeight w:val="300"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研学旅行管理与服务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山东万达国际旅行社有限公司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7</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青岛海信科技文化管理有限公司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青岛智行教育管理有限公司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国际商务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青岛乐盈汇跨境电商有限公司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8" w:space="0"/>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首饰设计与工艺</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青岛烧蓝黄金有限公司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青岛工程职业学院</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机电一体化技术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青岛鸿普电气科技有限公司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智能控制技术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力鼎智能装备(青岛）集团有限公司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nil"/>
              <w:left w:val="single" w:color="auto" w:sz="8" w:space="0"/>
              <w:bottom w:val="nil"/>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223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青岛酒店管理职业技术学院</w:t>
            </w:r>
          </w:p>
        </w:tc>
        <w:tc>
          <w:tcPr>
            <w:tcW w:w="17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现代物流管理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青岛中和全运供应链集团有限公司</w:t>
            </w:r>
          </w:p>
        </w:tc>
        <w:tc>
          <w:tcPr>
            <w:tcW w:w="144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青岛恒洋国际货运代理有限公司</w:t>
            </w:r>
          </w:p>
        </w:tc>
        <w:tc>
          <w:tcPr>
            <w:tcW w:w="1444"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计算机应用技术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青岛海信信息科技股份有限公司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建筑工程技术</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青州市天工园林有限公司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w:t>
            </w:r>
          </w:p>
        </w:tc>
      </w:tr>
      <w:tr>
        <w:tblPrEx>
          <w:tblLayout w:type="fixed"/>
          <w:tblCellMar>
            <w:top w:w="0" w:type="dxa"/>
            <w:left w:w="108" w:type="dxa"/>
            <w:bottom w:w="0" w:type="dxa"/>
            <w:right w:w="108" w:type="dxa"/>
          </w:tblCellMar>
        </w:tblPrEx>
        <w:trPr>
          <w:trHeight w:val="624" w:hRule="atLeast"/>
        </w:trPr>
        <w:tc>
          <w:tcPr>
            <w:tcW w:w="417" w:type="dxa"/>
            <w:vMerge w:val="continue"/>
            <w:tcBorders>
              <w:top w:val="nil"/>
              <w:left w:val="single" w:color="auto" w:sz="8" w:space="0"/>
              <w:bottom w:val="nil"/>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000000"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中西面点工艺</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青岛绿城华川置业有限公司喜来登酒店</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223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山东外贸职业学院</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市场营销</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山东锦聚新能源有限公司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4" w:space="0"/>
              <w:left w:val="single" w:color="auto" w:sz="4" w:space="0"/>
              <w:bottom w:val="single" w:color="000000" w:sz="4"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国际商务</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鑫帕特娜丝(青岛)家居饰品有限公司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624" w:hRule="atLeast"/>
        </w:trPr>
        <w:tc>
          <w:tcPr>
            <w:tcW w:w="417" w:type="dxa"/>
            <w:vMerge w:val="continue"/>
            <w:tcBorders>
              <w:top w:val="single" w:color="auto" w:sz="4" w:space="0"/>
              <w:left w:val="single" w:color="auto" w:sz="4" w:space="0"/>
              <w:bottom w:val="single" w:color="000000" w:sz="4"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金融服务与管理</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中国太平洋财产保险股份有限公司青岛市崂山支公司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417" w:type="dxa"/>
            <w:vMerge w:val="continue"/>
            <w:tcBorders>
              <w:top w:val="single" w:color="auto" w:sz="4" w:space="0"/>
              <w:left w:val="single" w:color="auto" w:sz="4" w:space="0"/>
              <w:bottom w:val="single" w:color="000000" w:sz="4" w:space="0"/>
              <w:right w:val="nil"/>
            </w:tcBorders>
            <w:vAlign w:val="center"/>
          </w:tcPr>
          <w:p>
            <w:pPr>
              <w:widowControl/>
              <w:jc w:val="left"/>
              <w:rPr>
                <w:rFonts w:ascii="仿宋_GB2312" w:hAnsi="宋体" w:eastAsia="仿宋_GB2312" w:cs="宋体"/>
                <w:kern w:val="0"/>
                <w:sz w:val="20"/>
                <w:szCs w:val="20"/>
              </w:rPr>
            </w:pPr>
          </w:p>
        </w:tc>
        <w:tc>
          <w:tcPr>
            <w:tcW w:w="2230" w:type="dxa"/>
            <w:vMerge w:val="continue"/>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0"/>
                <w:szCs w:val="20"/>
              </w:rPr>
            </w:pP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商务日语</w:t>
            </w:r>
          </w:p>
        </w:tc>
        <w:tc>
          <w:tcPr>
            <w:tcW w:w="291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青岛新锦美进出口有限公司</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r>
      <w:tr>
        <w:tblPrEx>
          <w:tblLayout w:type="fixed"/>
          <w:tblCellMar>
            <w:top w:w="0" w:type="dxa"/>
            <w:left w:w="108" w:type="dxa"/>
            <w:bottom w:w="0" w:type="dxa"/>
            <w:right w:w="108" w:type="dxa"/>
          </w:tblCellMar>
        </w:tblPrEx>
        <w:trPr>
          <w:trHeight w:val="312" w:hRule="atLeast"/>
        </w:trPr>
        <w:tc>
          <w:tcPr>
            <w:tcW w:w="2647" w:type="dxa"/>
            <w:gridSpan w:val="2"/>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小计</w:t>
            </w:r>
          </w:p>
        </w:tc>
        <w:tc>
          <w:tcPr>
            <w:tcW w:w="1718"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291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4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r>
    </w:tbl>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4.资金投入及使用情况</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（1）2024年度资金情况</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2024年度安排预算资金1000万元，其中：500万元为2023年度校企合作经费项目尾款，500万元为2024年度校企合作经费项目首批款。截至2024年12月31日，资金实际到位1000万元，实际执行840万元，预算执行率84%。各学校执行情况如下所示：</w:t>
      </w:r>
    </w:p>
    <w:p>
      <w:pPr>
        <w:spacing w:line="600" w:lineRule="exact"/>
        <w:ind w:firstLine="482" w:firstLineChars="200"/>
        <w:jc w:val="center"/>
        <w:rPr>
          <w:rFonts w:ascii="仿宋_GB2312" w:hAnsi="仿宋_GB2312" w:eastAsia="仿宋_GB2312" w:cs="仿宋_GB2312"/>
          <w:b/>
          <w:sz w:val="24"/>
        </w:rPr>
      </w:pPr>
      <w:r>
        <w:rPr>
          <w:rFonts w:hint="eastAsia" w:ascii="仿宋_GB2312" w:hAnsi="仿宋_GB2312" w:eastAsia="仿宋_GB2312" w:cs="仿宋_GB2312"/>
          <w:b/>
          <w:sz w:val="24"/>
        </w:rPr>
        <w:t>2023年度校企合作经费项目尾款500万元执行情况</w:t>
      </w:r>
    </w:p>
    <w:tbl>
      <w:tblPr>
        <w:tblStyle w:val="11"/>
        <w:tblW w:w="8720" w:type="dxa"/>
        <w:tblInd w:w="0" w:type="dxa"/>
        <w:tblLayout w:type="fixed"/>
        <w:tblCellMar>
          <w:top w:w="0" w:type="dxa"/>
          <w:left w:w="108" w:type="dxa"/>
          <w:bottom w:w="0" w:type="dxa"/>
          <w:right w:w="108" w:type="dxa"/>
        </w:tblCellMar>
      </w:tblPr>
      <w:tblGrid>
        <w:gridCol w:w="586"/>
        <w:gridCol w:w="2981"/>
        <w:gridCol w:w="957"/>
        <w:gridCol w:w="957"/>
        <w:gridCol w:w="1141"/>
        <w:gridCol w:w="957"/>
        <w:gridCol w:w="1141"/>
      </w:tblGrid>
      <w:tr>
        <w:tblPrEx>
          <w:tblLayout w:type="fixed"/>
          <w:tblCellMar>
            <w:top w:w="0" w:type="dxa"/>
            <w:left w:w="108" w:type="dxa"/>
            <w:bottom w:w="0" w:type="dxa"/>
            <w:right w:w="108" w:type="dxa"/>
          </w:tblCellMar>
        </w:tblPrEx>
        <w:trPr>
          <w:trHeight w:val="288" w:hRule="atLeast"/>
        </w:trPr>
        <w:tc>
          <w:tcPr>
            <w:tcW w:w="5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序号</w:t>
            </w:r>
          </w:p>
        </w:tc>
        <w:tc>
          <w:tcPr>
            <w:tcW w:w="29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学校</w:t>
            </w:r>
          </w:p>
        </w:tc>
        <w:tc>
          <w:tcPr>
            <w:tcW w:w="9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预算安排</w:t>
            </w:r>
          </w:p>
        </w:tc>
        <w:tc>
          <w:tcPr>
            <w:tcW w:w="9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到位资金</w:t>
            </w:r>
          </w:p>
        </w:tc>
        <w:tc>
          <w:tcPr>
            <w:tcW w:w="11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资金到位率</w:t>
            </w:r>
          </w:p>
        </w:tc>
        <w:tc>
          <w:tcPr>
            <w:tcW w:w="9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执行金额</w:t>
            </w:r>
          </w:p>
        </w:tc>
        <w:tc>
          <w:tcPr>
            <w:tcW w:w="11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预算执行率</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青岛外事服务职业学校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青岛交通职业学校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青岛华夏职业学校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青岛经济职业学校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青岛旅游学校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青岛烹饪职业学校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青岛电子学校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8</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青岛商务学校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9</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青岛工贸职业学校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青岛城市管理职业学校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11</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青岛艺术学校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12</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青岛幼儿师范学校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13</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山东省轻工工程学校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14</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青岛高新职业学校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15</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平度市职业教育中心学校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16</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胶州市职业教育中心学校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17</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西海岸新区职业中等专业学校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18</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西海岸新区高级职业技术学校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19</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青岛西海岸新区中德应用技术学校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城阳区职业教育中心学校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21</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青岛市城阳区职业中等专业学校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22</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青岛职业技术学院</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23</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青岛工程职业学院</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24</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青岛港湾职业技术学院</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25</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山东外贸职业学院</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26</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青岛酒店管理职业技术学院</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58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27</w:t>
            </w:r>
          </w:p>
        </w:tc>
        <w:tc>
          <w:tcPr>
            <w:tcW w:w="2981"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青岛幼儿师范高等专科学校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r>
      <w:tr>
        <w:tblPrEx>
          <w:tblLayout w:type="fixed"/>
          <w:tblCellMar>
            <w:top w:w="0" w:type="dxa"/>
            <w:left w:w="108" w:type="dxa"/>
            <w:bottom w:w="0" w:type="dxa"/>
            <w:right w:w="108" w:type="dxa"/>
          </w:tblCellMar>
        </w:tblPrEx>
        <w:trPr>
          <w:trHeight w:val="288" w:hRule="atLeast"/>
        </w:trPr>
        <w:tc>
          <w:tcPr>
            <w:tcW w:w="35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小计</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500.00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100.00%</w:t>
            </w:r>
          </w:p>
        </w:tc>
        <w:tc>
          <w:tcPr>
            <w:tcW w:w="957"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440.00</w:t>
            </w:r>
          </w:p>
        </w:tc>
        <w:tc>
          <w:tcPr>
            <w:tcW w:w="1141" w:type="dxa"/>
            <w:tcBorders>
              <w:top w:val="nil"/>
              <w:left w:val="nil"/>
              <w:bottom w:val="single" w:color="auto" w:sz="4" w:space="0"/>
              <w:right w:val="single" w:color="auto" w:sz="4" w:space="0"/>
            </w:tcBorders>
            <w:shd w:val="clear" w:color="auto" w:fill="auto"/>
            <w:vAlign w:val="center"/>
          </w:tcPr>
          <w:p>
            <w:pPr>
              <w:widowControl/>
              <w:jc w:val="righ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88.00%</w:t>
            </w:r>
          </w:p>
        </w:tc>
      </w:tr>
    </w:tbl>
    <w:p>
      <w:pPr>
        <w:spacing w:line="600" w:lineRule="exact"/>
        <w:ind w:firstLine="482" w:firstLineChars="200"/>
        <w:jc w:val="center"/>
        <w:rPr>
          <w:rFonts w:ascii="仿宋_GB2312" w:hAnsi="仿宋_GB2312" w:eastAsia="仿宋_GB2312" w:cs="仿宋_GB2312"/>
          <w:b/>
          <w:sz w:val="24"/>
        </w:rPr>
      </w:pPr>
    </w:p>
    <w:p>
      <w:pPr>
        <w:spacing w:line="600" w:lineRule="exact"/>
        <w:ind w:firstLine="482" w:firstLineChars="200"/>
        <w:jc w:val="center"/>
        <w:rPr>
          <w:rFonts w:ascii="仿宋_GB2312" w:hAnsi="仿宋_GB2312" w:eastAsia="仿宋_GB2312" w:cs="仿宋_GB2312"/>
          <w:b/>
          <w:sz w:val="24"/>
        </w:rPr>
      </w:pPr>
      <w:r>
        <w:rPr>
          <w:rFonts w:hint="eastAsia" w:ascii="仿宋_GB2312" w:hAnsi="仿宋_GB2312" w:eastAsia="仿宋_GB2312" w:cs="仿宋_GB2312"/>
          <w:b/>
          <w:sz w:val="24"/>
        </w:rPr>
        <w:t>2024年度校企合作经费项目首批款500万元执行情况</w:t>
      </w:r>
    </w:p>
    <w:tbl>
      <w:tblPr>
        <w:tblStyle w:val="11"/>
        <w:tblW w:w="8720" w:type="dxa"/>
        <w:tblInd w:w="0" w:type="dxa"/>
        <w:tblLayout w:type="fixed"/>
        <w:tblCellMar>
          <w:top w:w="0" w:type="dxa"/>
          <w:left w:w="108" w:type="dxa"/>
          <w:bottom w:w="0" w:type="dxa"/>
          <w:right w:w="108" w:type="dxa"/>
        </w:tblCellMar>
      </w:tblPr>
      <w:tblGrid>
        <w:gridCol w:w="493"/>
        <w:gridCol w:w="2867"/>
        <w:gridCol w:w="1277"/>
        <w:gridCol w:w="893"/>
        <w:gridCol w:w="916"/>
        <w:gridCol w:w="893"/>
        <w:gridCol w:w="1381"/>
      </w:tblGrid>
      <w:tr>
        <w:tblPrEx>
          <w:tblLayout w:type="fixed"/>
          <w:tblCellMar>
            <w:top w:w="0" w:type="dxa"/>
            <w:left w:w="108" w:type="dxa"/>
            <w:bottom w:w="0" w:type="dxa"/>
            <w:right w:w="108" w:type="dxa"/>
          </w:tblCellMar>
        </w:tblPrEx>
        <w:trPr>
          <w:trHeight w:val="630" w:hRule="atLeast"/>
        </w:trPr>
        <w:tc>
          <w:tcPr>
            <w:tcW w:w="4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序号</w:t>
            </w:r>
          </w:p>
        </w:tc>
        <w:tc>
          <w:tcPr>
            <w:tcW w:w="286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学校</w:t>
            </w:r>
          </w:p>
        </w:tc>
        <w:tc>
          <w:tcPr>
            <w:tcW w:w="12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预算安排</w:t>
            </w:r>
          </w:p>
        </w:tc>
        <w:tc>
          <w:tcPr>
            <w:tcW w:w="8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到位资金</w:t>
            </w: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资金到位率</w:t>
            </w:r>
          </w:p>
        </w:tc>
        <w:tc>
          <w:tcPr>
            <w:tcW w:w="8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执行金额</w:t>
            </w:r>
          </w:p>
        </w:tc>
        <w:tc>
          <w:tcPr>
            <w:tcW w:w="138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预算执行率</w:t>
            </w:r>
          </w:p>
        </w:tc>
      </w:tr>
      <w:tr>
        <w:tblPrEx>
          <w:tblLayout w:type="fixed"/>
          <w:tblCellMar>
            <w:top w:w="0" w:type="dxa"/>
            <w:left w:w="108" w:type="dxa"/>
            <w:bottom w:w="0" w:type="dxa"/>
            <w:right w:w="108" w:type="dxa"/>
          </w:tblCellMar>
        </w:tblPrEx>
        <w:trPr>
          <w:trHeight w:val="405"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青岛外事服务职业学校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青岛交通职业学校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青岛华夏职业学校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30.00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30.00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516"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青岛经济职业学校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青岛旅游学校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青岛烹饪职业学校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青岛电子学校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40.00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40.00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青岛商务学校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青岛工贸职业学校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青岛城市管理职业学校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青岛财经职业学校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青岛艺术学校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山东省轻工工程学校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青岛高新职业学校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青岛市城阳区职业教育中心学校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青岛市城阳区职业中等专业学校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420"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胶州市职业教育中心学校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青岛西海岸新区职业中等专业学校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81"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青岛西海岸新区高级职业技术学校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青岛西海岸新区中德应用技术学校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25.00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25.00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平度市职业教育中心学校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624"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莱西市职业教育中心学校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青岛职业技术学院</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30.00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30.00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青岛幼儿师范高等专科学校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624"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青岛工程职业学院</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青岛酒店管理职业技术学院</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25.00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25.00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100.00%</w:t>
            </w:r>
          </w:p>
        </w:tc>
      </w:tr>
      <w:tr>
        <w:tblPrEx>
          <w:tblLayout w:type="fixed"/>
          <w:tblCellMar>
            <w:top w:w="0" w:type="dxa"/>
            <w:left w:w="108" w:type="dxa"/>
            <w:bottom w:w="0" w:type="dxa"/>
            <w:right w:w="108" w:type="dxa"/>
          </w:tblCellMar>
        </w:tblPrEx>
        <w:trPr>
          <w:trHeight w:val="312" w:hRule="atLeast"/>
        </w:trPr>
        <w:tc>
          <w:tcPr>
            <w:tcW w:w="4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2867"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山东外贸职业学院</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10.00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w:t>
            </w:r>
          </w:p>
        </w:tc>
        <w:tc>
          <w:tcPr>
            <w:tcW w:w="916" w:type="dxa"/>
            <w:tcBorders>
              <w:top w:val="nil"/>
              <w:left w:val="nil"/>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ascii="仿宋_GB2312" w:hAnsi="宋体" w:eastAsia="仿宋_GB2312" w:cs="宋体"/>
                <w:kern w:val="0"/>
                <w:sz w:val="20"/>
                <w:szCs w:val="20"/>
              </w:rPr>
              <w:t>0.00%</w:t>
            </w:r>
          </w:p>
        </w:tc>
      </w:tr>
      <w:tr>
        <w:tblPrEx>
          <w:tblLayout w:type="fixed"/>
          <w:tblCellMar>
            <w:top w:w="0" w:type="dxa"/>
            <w:left w:w="108" w:type="dxa"/>
            <w:bottom w:w="0" w:type="dxa"/>
            <w:right w:w="108" w:type="dxa"/>
          </w:tblCellMar>
        </w:tblPrEx>
        <w:trPr>
          <w:trHeight w:val="434" w:hRule="atLeast"/>
        </w:trPr>
        <w:tc>
          <w:tcPr>
            <w:tcW w:w="336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小计</w:t>
            </w:r>
          </w:p>
        </w:tc>
        <w:tc>
          <w:tcPr>
            <w:tcW w:w="127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500.00</w:t>
            </w:r>
          </w:p>
        </w:tc>
        <w:tc>
          <w:tcPr>
            <w:tcW w:w="9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100.00%</w:t>
            </w:r>
          </w:p>
        </w:tc>
        <w:tc>
          <w:tcPr>
            <w:tcW w:w="8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400.00</w:t>
            </w:r>
          </w:p>
        </w:tc>
        <w:tc>
          <w:tcPr>
            <w:tcW w:w="138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80.00%</w:t>
            </w:r>
          </w:p>
        </w:tc>
      </w:tr>
    </w:tbl>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（2）2024年度项目（第六批现代学徒制试点项目）资金情况</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2024年度，第六批现代学徒制试点项目预算资金1000万元，全部由市级财政安排，资金分2批拨付，2024年3月拨付项目首批款500万元，2025年3月拨付项目验收合格后的尾款500万元。</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2024年底，市教育局组织项目验收，实际培养完成1970名学徒，应补助资金985万元。截至2025年7月17日，资金实际到位资金985万元，资金到位率100%，实际执行数695.00万元，预算执行率70.56%。各学校预算执行情况如下所示：</w:t>
      </w:r>
    </w:p>
    <w:tbl>
      <w:tblPr>
        <w:tblStyle w:val="11"/>
        <w:tblW w:w="8720" w:type="dxa"/>
        <w:tblInd w:w="0" w:type="dxa"/>
        <w:tblLayout w:type="fixed"/>
        <w:tblCellMar>
          <w:top w:w="0" w:type="dxa"/>
          <w:left w:w="108" w:type="dxa"/>
          <w:bottom w:w="0" w:type="dxa"/>
          <w:right w:w="108" w:type="dxa"/>
        </w:tblCellMar>
      </w:tblPr>
      <w:tblGrid>
        <w:gridCol w:w="487"/>
        <w:gridCol w:w="2864"/>
        <w:gridCol w:w="1271"/>
        <w:gridCol w:w="888"/>
        <w:gridCol w:w="916"/>
        <w:gridCol w:w="916"/>
        <w:gridCol w:w="1378"/>
      </w:tblGrid>
      <w:tr>
        <w:tblPrEx>
          <w:tblLayout w:type="fixed"/>
          <w:tblCellMar>
            <w:top w:w="0" w:type="dxa"/>
            <w:left w:w="108" w:type="dxa"/>
            <w:bottom w:w="0" w:type="dxa"/>
            <w:right w:w="108" w:type="dxa"/>
          </w:tblCellMar>
        </w:tblPrEx>
        <w:trPr>
          <w:trHeight w:val="630" w:hRule="atLeast"/>
        </w:trPr>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序号</w:t>
            </w:r>
          </w:p>
        </w:tc>
        <w:tc>
          <w:tcPr>
            <w:tcW w:w="28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学校</w:t>
            </w:r>
          </w:p>
        </w:tc>
        <w:tc>
          <w:tcPr>
            <w:tcW w:w="12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应补助资金</w:t>
            </w:r>
          </w:p>
        </w:tc>
        <w:tc>
          <w:tcPr>
            <w:tcW w:w="8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到位资金</w:t>
            </w: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资金到位率</w:t>
            </w:r>
          </w:p>
        </w:tc>
        <w:tc>
          <w:tcPr>
            <w:tcW w:w="91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执行金额</w:t>
            </w:r>
          </w:p>
        </w:tc>
        <w:tc>
          <w:tcPr>
            <w:tcW w:w="13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kern w:val="0"/>
                <w:sz w:val="20"/>
                <w:szCs w:val="20"/>
              </w:rPr>
            </w:pPr>
            <w:r>
              <w:rPr>
                <w:rFonts w:hint="eastAsia" w:ascii="仿宋_GB2312" w:hAnsi="宋体" w:eastAsia="仿宋_GB2312" w:cs="宋体"/>
                <w:b/>
                <w:kern w:val="0"/>
                <w:sz w:val="20"/>
                <w:szCs w:val="20"/>
              </w:rPr>
              <w:t>预算执行率</w:t>
            </w:r>
          </w:p>
        </w:tc>
      </w:tr>
      <w:tr>
        <w:tblPrEx>
          <w:tblLayout w:type="fixed"/>
          <w:tblCellMar>
            <w:top w:w="0" w:type="dxa"/>
            <w:left w:w="108" w:type="dxa"/>
            <w:bottom w:w="0" w:type="dxa"/>
            <w:right w:w="108" w:type="dxa"/>
          </w:tblCellMar>
        </w:tblPrEx>
        <w:trPr>
          <w:trHeight w:val="405"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青岛外事服务职业学校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青岛交通职业学校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3</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青岛华夏职业学校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60.00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60.00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60.00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516"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4</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青岛经济职业学校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5</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青岛旅游学校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6</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青岛烹饪职业学校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7</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青岛电子学校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80.00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80.00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8</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青岛商务学校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9</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青岛工贸职业学校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10</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青岛城市管理职业学校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11</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青岛财经职业学校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12</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青岛艺术学校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13</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14</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山东省轻工工程学校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15</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青岛高新职业学校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16</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青岛市城阳区职业教育中心学校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25.00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25.00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17</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青岛市城阳区职业中等专业学校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r>
      <w:tr>
        <w:tblPrEx>
          <w:tblLayout w:type="fixed"/>
          <w:tblCellMar>
            <w:top w:w="0" w:type="dxa"/>
            <w:left w:w="108" w:type="dxa"/>
            <w:bottom w:w="0" w:type="dxa"/>
            <w:right w:w="108" w:type="dxa"/>
          </w:tblCellMar>
        </w:tblPrEx>
        <w:trPr>
          <w:trHeight w:val="420"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18</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胶州市职业教育中心学校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19</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青岛西海岸新区职业中等专业学校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81"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20</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青岛西海岸新区高级职业技术学校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21</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青岛西海岸新区中德应用技术学校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50.00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50.00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80.00%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22</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平度市职业教育中心学校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r>
      <w:tr>
        <w:tblPrEx>
          <w:tblLayout w:type="fixed"/>
          <w:tblCellMar>
            <w:top w:w="0" w:type="dxa"/>
            <w:left w:w="108" w:type="dxa"/>
            <w:bottom w:w="0" w:type="dxa"/>
            <w:right w:w="108" w:type="dxa"/>
          </w:tblCellMar>
        </w:tblPrEx>
        <w:trPr>
          <w:trHeight w:val="624"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23</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莱西市职业教育中心学校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24</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青岛职业技术学院</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60.00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60.00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60.00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25</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青岛幼儿师范高等专科学校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40.00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40.00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624"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26</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青岛工程职业学院</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27</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青岛酒店管理职业技术学院</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50.00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50.00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25.00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312" w:hRule="atLeast"/>
        </w:trPr>
        <w:tc>
          <w:tcPr>
            <w:tcW w:w="48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28</w:t>
            </w:r>
          </w:p>
        </w:tc>
        <w:tc>
          <w:tcPr>
            <w:tcW w:w="2864"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山东外贸职业学院</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20.00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10.00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50.00%</w:t>
            </w:r>
          </w:p>
        </w:tc>
      </w:tr>
      <w:tr>
        <w:tblPrEx>
          <w:tblLayout w:type="fixed"/>
          <w:tblCellMar>
            <w:top w:w="0" w:type="dxa"/>
            <w:left w:w="108" w:type="dxa"/>
            <w:bottom w:w="0" w:type="dxa"/>
            <w:right w:w="108" w:type="dxa"/>
          </w:tblCellMar>
        </w:tblPrEx>
        <w:trPr>
          <w:trHeight w:val="434" w:hRule="atLeast"/>
        </w:trPr>
        <w:tc>
          <w:tcPr>
            <w:tcW w:w="3351"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小计</w:t>
            </w:r>
          </w:p>
        </w:tc>
        <w:tc>
          <w:tcPr>
            <w:tcW w:w="1271"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985.00</w:t>
            </w:r>
          </w:p>
        </w:tc>
        <w:tc>
          <w:tcPr>
            <w:tcW w:w="888"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985.00</w:t>
            </w:r>
          </w:p>
        </w:tc>
        <w:tc>
          <w:tcPr>
            <w:tcW w:w="916" w:type="dxa"/>
            <w:tcBorders>
              <w:top w:val="nil"/>
              <w:left w:val="nil"/>
              <w:bottom w:val="single" w:color="auto" w:sz="4" w:space="0"/>
              <w:right w:val="single" w:color="auto" w:sz="4" w:space="0"/>
            </w:tcBorders>
            <w:shd w:val="clear" w:color="auto" w:fill="auto"/>
            <w:vAlign w:val="center"/>
          </w:tcPr>
          <w:p>
            <w:pPr>
              <w:jc w:val="right"/>
              <w:rPr>
                <w:rFonts w:ascii="仿宋_GB2312" w:eastAsia="仿宋_GB2312"/>
                <w:sz w:val="20"/>
                <w:szCs w:val="20"/>
              </w:rPr>
            </w:pPr>
            <w:r>
              <w:rPr>
                <w:rFonts w:hint="eastAsia" w:ascii="仿宋_GB2312" w:eastAsia="仿宋_GB2312"/>
                <w:sz w:val="20"/>
                <w:szCs w:val="20"/>
              </w:rPr>
              <w:t>100.00%</w:t>
            </w:r>
          </w:p>
        </w:tc>
        <w:tc>
          <w:tcPr>
            <w:tcW w:w="916"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695.00</w:t>
            </w:r>
          </w:p>
        </w:tc>
        <w:tc>
          <w:tcPr>
            <w:tcW w:w="1378" w:type="dxa"/>
            <w:tcBorders>
              <w:top w:val="nil"/>
              <w:left w:val="nil"/>
              <w:bottom w:val="single" w:color="auto" w:sz="4" w:space="0"/>
              <w:right w:val="single" w:color="auto" w:sz="4" w:space="0"/>
            </w:tcBorders>
            <w:shd w:val="clear" w:color="auto" w:fill="auto"/>
            <w:vAlign w:val="center"/>
          </w:tcPr>
          <w:p>
            <w:pPr>
              <w:jc w:val="center"/>
              <w:rPr>
                <w:rFonts w:ascii="仿宋_GB2312" w:eastAsia="仿宋_GB2312"/>
                <w:sz w:val="20"/>
                <w:szCs w:val="20"/>
              </w:rPr>
            </w:pPr>
            <w:r>
              <w:rPr>
                <w:rFonts w:hint="eastAsia" w:ascii="仿宋_GB2312" w:eastAsia="仿宋_GB2312"/>
                <w:sz w:val="20"/>
                <w:szCs w:val="20"/>
              </w:rPr>
              <w:t>70.56%</w:t>
            </w:r>
          </w:p>
        </w:tc>
      </w:tr>
    </w:tbl>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（二）项目绩效目标</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1.总体目标</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通过校企合作项目开展现代学徒制试点工作，深化产教融合、校企合作，推动职业教育高质量发展，为社会培养高素质的技术技能人才。</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2.年度目标</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2024年度项目试点专业50个、培养学徒2000人、合作企业资质符合率100%、培养学徒考核达标率100%、培养学徒直接就业率≥90%、学徒满意度≥90%。</w:t>
      </w:r>
    </w:p>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二、绩效评价工作开展情况</w:t>
      </w:r>
    </w:p>
    <w:p>
      <w:pPr>
        <w:spacing w:line="600" w:lineRule="exact"/>
        <w:ind w:firstLine="640" w:firstLineChars="200"/>
        <w:rPr>
          <w:rFonts w:ascii="楷体" w:hAnsi="楷体" w:eastAsia="楷体" w:cs="楷体"/>
          <w:sz w:val="32"/>
          <w:szCs w:val="40"/>
        </w:rPr>
      </w:pPr>
      <w:r>
        <w:rPr>
          <w:rFonts w:hint="eastAsia" w:ascii="楷体" w:hAnsi="楷体" w:eastAsia="楷体" w:cs="楷体"/>
          <w:sz w:val="32"/>
          <w:szCs w:val="40"/>
        </w:rPr>
        <w:t>（一）评价目的、评价对象和范围</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1.评价目的</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财政支出绩效评价旨在通过评价来改善预算部门的财政支出管理，优化资源配置及提高公共服务水平。本次绩效评价的目的主要是通过对2024年校企合作经费项目的合理性、规范性、有效性进行分析，对项目管理工作提出有针对性的建议，为下一步预算资金安排、改进管理及完善政策提供参考，提高资金的使用效益。</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2.评价对象和范围</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对2024年度校企合作经费项目预算资金1000万元的实施效果进行绩效评价，同时对2024年度第六批校企合作经费项目尾款500万（2025年预算资金）的实施效果进行延伸绩效评价。</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（二）评价思路、评价重点、评价指标体系和评价标准</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1.评价思路</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根据《中共青岛市委青岛市人民政府关于深化预算管理改革全面推进预算绩效管理的实施意见》(青发〔2019〕6号)、青岛市财政局《市级财政绩效评价操作指南》的通知(青财绩〔2020〕6号)等文件规定，制定绩效评价指标体系和具体评价方案。结合项目特点，对项目的决策、过程、产出、效益的比较和分析，对项目进行综合评价。</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2.评价重点</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（1）项目决策方面，主要评价其立项依据是否充分，程序是否规范，绩效目标设定是否科学合理，绩效指标是否细化量化，以及预算编制是否科学，资金分配是否合理等。</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（2）项目过程方面，主要评价项目资金是否到位，预算是否得到执行，资金的使用是否合规，项目管理制度是否健全，管理制度是否有效执行。</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（3）项目产出方面，主要评价项目是否完成，项目质量是否达标，以及项目完成及时性，成本控制有效性。</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（4）项目效益方面，评价项目实施后所带来的社会效益、可持续影响及项目服务对象的满意程度。</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3.评价指标体系</w:t>
      </w:r>
    </w:p>
    <w:p>
      <w:pPr>
        <w:spacing w:line="600"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依据绩效评价基本原理，分别按照定量与定性两种方法进行评分，设计了一级指标和二级指标。根据各项指标在评价体系中的重要程度分析，按照项目特征和评价需求，最终确定一级共性指标决策20分、过程20分，一级个性指标产出25分、效果35分。二级、三级指标按照重要程度划分权重。本次绩效评价指标体系，包括评价指标、权重、指标解释、评分标准等。</w:t>
      </w:r>
    </w:p>
    <w:p>
      <w:pPr>
        <w:spacing w:line="600" w:lineRule="exact"/>
        <w:ind w:firstLine="640" w:firstLineChars="200"/>
        <w:rPr>
          <w:rFonts w:ascii="仿宋_GB2312" w:hAnsi="仿宋_GB2312" w:eastAsia="仿宋_GB2312" w:cs="仿宋_GB2312"/>
          <w:sz w:val="32"/>
          <w:szCs w:val="40"/>
        </w:rPr>
      </w:pPr>
      <w:bookmarkStart w:id="12" w:name="_GoBack"/>
      <w:bookmarkEnd w:id="12"/>
      <w:r>
        <w:rPr>
          <w:rFonts w:hint="eastAsia" w:ascii="仿宋_GB2312" w:hAnsi="仿宋_GB2312" w:eastAsia="仿宋_GB2312" w:cs="仿宋_GB2312"/>
          <w:sz w:val="32"/>
          <w:szCs w:val="40"/>
        </w:rPr>
        <w:t>4.评价标准</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按照《青岛市市级项目支出预算绩效管理结果应用办法》（青财绩〔2023〕5号）规定，本次绩效评价等级划分为四档。</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（1）评分90（含）-100分为优；</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（2）评分80（含）-90分为良；</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（3）评分60（含）-80分为中；</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（4）评分60以下为差。</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（三）评价组织实施与评价方法</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1.评价组织实施</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（1）前期准备阶段（5月21日至5月29日）</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与被评价单位进行充分沟通，了解项目的基本信息，收集项目立项文件、预算安排、项目年度目标、管理制度等文件资料。</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（2）组织实施阶段（5月30日至7月3日）</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按照工作方案，与被评价单位进行沟通，收集相关数据，并对收集的数据汇总和分析。在收集、整理、分析相关资料基础上，进行现场评价，根据需要进行座谈，进行满意度问卷，做好工作记录，形成工作底稿。</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（3）报告形成阶段（7月4日至7月31日）</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根据提供的项目资料，召开综合评价会，根据指标体系进行打分评级。根据评价结果，严格按照要求撰写绩效评价报告，及时征求意见。根据反馈意见修改完善绩效评价报告，并提交最终版报告。</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2.评价方法</w:t>
      </w:r>
    </w:p>
    <w:p>
      <w:pPr>
        <w:adjustRightInd w:val="0"/>
        <w:snapToGrid w:val="0"/>
        <w:spacing w:line="580" w:lineRule="exact"/>
        <w:ind w:firstLine="640" w:firstLineChars="200"/>
        <w:rPr>
          <w:rFonts w:ascii="仿宋_GB2312" w:hAnsi="仿宋" w:eastAsia="仿宋_GB2312" w:cs="仿宋"/>
          <w:sz w:val="32"/>
          <w:szCs w:val="32"/>
        </w:rPr>
      </w:pPr>
      <w:r>
        <w:rPr>
          <w:rFonts w:hint="eastAsia" w:ascii="仿宋_GB2312" w:hAnsi="仿宋_GB2312" w:eastAsia="仿宋_GB2312" w:cs="仿宋_GB2312"/>
          <w:sz w:val="32"/>
          <w:szCs w:val="32"/>
        </w:rPr>
        <w:t>绩效评价方法主要包括成本效益分析法、比较法、公众评判法等。本次评价采取现场、非现场评价方式，通过核查、座谈、电话问卷调查等手段进行综合评价。</w:t>
      </w:r>
    </w:p>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三、评价结论及分析</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（一）综合评价结论</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该项目绩效评价得分81.48分，评价结果为“良”。2024年度青岛市现代学徒制试点专业50个，项目培养学徒1970人，学徒考核达标率100%。项目在改革培养模式、深化校企协同、提升学徒（学生）的技术技能、优化专业教学质量等方面取得了显著成效。项目促进了教育链、人才链、产业链的有机衔接，为青岛区域经济转型升级提供了有力的人才支撑。但项目实施过程中也存在一些不足之处，如绩效指标设置、管理制度健全性、制度执行有效性、项目效益等方面有待进一步加强。</w:t>
      </w:r>
    </w:p>
    <w:p>
      <w:pPr>
        <w:spacing w:line="600" w:lineRule="exact"/>
        <w:jc w:val="center"/>
        <w:rPr>
          <w:rFonts w:ascii="黑体" w:hAnsi="黑体" w:eastAsia="黑体" w:cs="黑体"/>
          <w:sz w:val="28"/>
          <w:szCs w:val="28"/>
        </w:rPr>
      </w:pPr>
      <w:r>
        <w:rPr>
          <w:rFonts w:hint="eastAsia" w:ascii="黑体" w:hAnsi="黑体" w:eastAsia="黑体" w:cs="黑体"/>
          <w:sz w:val="28"/>
          <w:szCs w:val="28"/>
        </w:rPr>
        <w:t>2024年度校企合作经费项目绩效评价得分情况表</w:t>
      </w:r>
    </w:p>
    <w:tbl>
      <w:tblPr>
        <w:tblStyle w:val="12"/>
        <w:tblW w:w="8349" w:type="dxa"/>
        <w:tblInd w:w="2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7"/>
        <w:gridCol w:w="2087"/>
        <w:gridCol w:w="2087"/>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黑体" w:hAnsi="黑体" w:eastAsia="黑体" w:cs="黑体"/>
                <w:sz w:val="28"/>
                <w:szCs w:val="28"/>
              </w:rPr>
            </w:pPr>
            <w:r>
              <w:rPr>
                <w:rFonts w:hint="eastAsia" w:ascii="黑体" w:hAnsi="黑体" w:eastAsia="黑体" w:cs="黑体"/>
                <w:sz w:val="28"/>
                <w:szCs w:val="28"/>
              </w:rPr>
              <w:t>一级指标</w:t>
            </w:r>
          </w:p>
        </w:tc>
        <w:tc>
          <w:tcPr>
            <w:tcW w:w="2087" w:type="dxa"/>
          </w:tcPr>
          <w:p>
            <w:pPr>
              <w:spacing w:line="600" w:lineRule="exact"/>
              <w:jc w:val="center"/>
              <w:rPr>
                <w:rFonts w:ascii="黑体" w:hAnsi="黑体" w:eastAsia="黑体" w:cs="黑体"/>
                <w:sz w:val="28"/>
                <w:szCs w:val="28"/>
              </w:rPr>
            </w:pPr>
            <w:r>
              <w:rPr>
                <w:rFonts w:hint="eastAsia" w:ascii="黑体" w:hAnsi="黑体" w:eastAsia="黑体" w:cs="黑体"/>
                <w:sz w:val="28"/>
                <w:szCs w:val="28"/>
              </w:rPr>
              <w:t>指标分值</w:t>
            </w:r>
          </w:p>
        </w:tc>
        <w:tc>
          <w:tcPr>
            <w:tcW w:w="2087" w:type="dxa"/>
          </w:tcPr>
          <w:p>
            <w:pPr>
              <w:spacing w:line="600" w:lineRule="exact"/>
              <w:jc w:val="center"/>
              <w:rPr>
                <w:rFonts w:ascii="黑体" w:hAnsi="黑体" w:eastAsia="黑体" w:cs="黑体"/>
                <w:sz w:val="28"/>
                <w:szCs w:val="28"/>
              </w:rPr>
            </w:pPr>
            <w:r>
              <w:rPr>
                <w:rFonts w:hint="eastAsia" w:ascii="黑体" w:hAnsi="黑体" w:eastAsia="黑体" w:cs="黑体"/>
                <w:sz w:val="28"/>
                <w:szCs w:val="28"/>
              </w:rPr>
              <w:t>得分</w:t>
            </w:r>
          </w:p>
        </w:tc>
        <w:tc>
          <w:tcPr>
            <w:tcW w:w="2088" w:type="dxa"/>
          </w:tcPr>
          <w:p>
            <w:pPr>
              <w:spacing w:line="600" w:lineRule="exact"/>
              <w:jc w:val="center"/>
              <w:rPr>
                <w:rFonts w:ascii="黑体" w:hAnsi="黑体" w:eastAsia="黑体" w:cs="黑体"/>
                <w:sz w:val="28"/>
                <w:szCs w:val="28"/>
              </w:rPr>
            </w:pPr>
            <w:r>
              <w:rPr>
                <w:rFonts w:hint="eastAsia" w:ascii="黑体" w:hAnsi="黑体" w:eastAsia="黑体" w:cs="黑体"/>
                <w:sz w:val="28"/>
                <w:szCs w:val="28"/>
              </w:rPr>
              <w:t>得分率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决策</w:t>
            </w:r>
          </w:p>
        </w:tc>
        <w:tc>
          <w:tcPr>
            <w:tcW w:w="2087" w:type="dxa"/>
            <w:vAlign w:val="center"/>
          </w:tcPr>
          <w:p>
            <w:pPr>
              <w:jc w:val="center"/>
              <w:rPr>
                <w:rFonts w:ascii="仿宋_GB2312" w:eastAsia="仿宋_GB2312"/>
                <w:sz w:val="28"/>
                <w:szCs w:val="28"/>
              </w:rPr>
            </w:pPr>
            <w:r>
              <w:rPr>
                <w:rFonts w:hint="eastAsia" w:ascii="仿宋_GB2312" w:eastAsia="仿宋_GB2312"/>
                <w:sz w:val="28"/>
                <w:szCs w:val="28"/>
              </w:rPr>
              <w:t>20</w:t>
            </w:r>
          </w:p>
        </w:tc>
        <w:tc>
          <w:tcPr>
            <w:tcW w:w="2087" w:type="dxa"/>
            <w:vAlign w:val="center"/>
          </w:tcPr>
          <w:p>
            <w:pPr>
              <w:jc w:val="center"/>
              <w:rPr>
                <w:rFonts w:ascii="仿宋_GB2312" w:eastAsia="仿宋_GB2312"/>
                <w:sz w:val="28"/>
                <w:szCs w:val="28"/>
              </w:rPr>
            </w:pPr>
            <w:r>
              <w:rPr>
                <w:rFonts w:ascii="仿宋_GB2312" w:eastAsia="仿宋_GB2312"/>
                <w:sz w:val="28"/>
                <w:szCs w:val="28"/>
              </w:rPr>
              <w:t>19.70</w:t>
            </w:r>
          </w:p>
        </w:tc>
        <w:tc>
          <w:tcPr>
            <w:tcW w:w="2088" w:type="dxa"/>
            <w:vAlign w:val="center"/>
          </w:tcPr>
          <w:p>
            <w:pPr>
              <w:jc w:val="center"/>
              <w:rPr>
                <w:rFonts w:ascii="仿宋_GB2312" w:eastAsia="仿宋_GB2312"/>
                <w:sz w:val="28"/>
                <w:szCs w:val="28"/>
              </w:rPr>
            </w:pPr>
            <w:r>
              <w:rPr>
                <w:rFonts w:ascii="仿宋_GB2312" w:eastAsia="仿宋_GB2312"/>
                <w:sz w:val="28"/>
                <w:szCs w:val="28"/>
              </w:rPr>
              <w:t>98.50%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过程</w:t>
            </w:r>
          </w:p>
        </w:tc>
        <w:tc>
          <w:tcPr>
            <w:tcW w:w="2087" w:type="dxa"/>
            <w:vAlign w:val="center"/>
          </w:tcPr>
          <w:p>
            <w:pPr>
              <w:jc w:val="center"/>
              <w:rPr>
                <w:rFonts w:ascii="仿宋_GB2312" w:eastAsia="仿宋_GB2312"/>
                <w:sz w:val="28"/>
                <w:szCs w:val="28"/>
              </w:rPr>
            </w:pPr>
            <w:r>
              <w:rPr>
                <w:rFonts w:hint="eastAsia" w:ascii="仿宋_GB2312" w:eastAsia="仿宋_GB2312"/>
                <w:sz w:val="28"/>
                <w:szCs w:val="28"/>
              </w:rPr>
              <w:t>20</w:t>
            </w:r>
          </w:p>
        </w:tc>
        <w:tc>
          <w:tcPr>
            <w:tcW w:w="2087" w:type="dxa"/>
            <w:vAlign w:val="center"/>
          </w:tcPr>
          <w:p>
            <w:pPr>
              <w:jc w:val="center"/>
              <w:rPr>
                <w:rFonts w:ascii="仿宋_GB2312" w:eastAsia="仿宋_GB2312"/>
                <w:sz w:val="28"/>
                <w:szCs w:val="28"/>
              </w:rPr>
            </w:pPr>
            <w:r>
              <w:rPr>
                <w:rFonts w:ascii="仿宋_GB2312" w:eastAsia="仿宋_GB2312"/>
                <w:sz w:val="28"/>
                <w:szCs w:val="28"/>
              </w:rPr>
              <w:t>7.90</w:t>
            </w:r>
          </w:p>
        </w:tc>
        <w:tc>
          <w:tcPr>
            <w:tcW w:w="2088" w:type="dxa"/>
            <w:vAlign w:val="center"/>
          </w:tcPr>
          <w:p>
            <w:pPr>
              <w:jc w:val="center"/>
              <w:rPr>
                <w:rFonts w:ascii="仿宋_GB2312" w:eastAsia="仿宋_GB2312"/>
                <w:sz w:val="28"/>
                <w:szCs w:val="28"/>
              </w:rPr>
            </w:pPr>
            <w:r>
              <w:rPr>
                <w:rFonts w:ascii="仿宋_GB2312" w:eastAsia="仿宋_GB2312"/>
                <w:sz w:val="28"/>
                <w:szCs w:val="28"/>
              </w:rPr>
              <w:t>39.50%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产出</w:t>
            </w:r>
          </w:p>
        </w:tc>
        <w:tc>
          <w:tcPr>
            <w:tcW w:w="2087" w:type="dxa"/>
            <w:vAlign w:val="center"/>
          </w:tcPr>
          <w:p>
            <w:pPr>
              <w:jc w:val="center"/>
              <w:rPr>
                <w:rFonts w:ascii="仿宋_GB2312" w:eastAsia="仿宋_GB2312"/>
                <w:sz w:val="28"/>
                <w:szCs w:val="28"/>
              </w:rPr>
            </w:pPr>
            <w:r>
              <w:rPr>
                <w:rFonts w:hint="eastAsia" w:ascii="仿宋_GB2312" w:eastAsia="仿宋_GB2312"/>
                <w:sz w:val="28"/>
                <w:szCs w:val="28"/>
              </w:rPr>
              <w:t>25</w:t>
            </w:r>
          </w:p>
        </w:tc>
        <w:tc>
          <w:tcPr>
            <w:tcW w:w="2087" w:type="dxa"/>
            <w:vAlign w:val="center"/>
          </w:tcPr>
          <w:p>
            <w:pPr>
              <w:jc w:val="center"/>
              <w:rPr>
                <w:rFonts w:ascii="仿宋_GB2312" w:eastAsia="仿宋_GB2312"/>
                <w:sz w:val="28"/>
                <w:szCs w:val="28"/>
              </w:rPr>
            </w:pPr>
            <w:r>
              <w:rPr>
                <w:rFonts w:ascii="仿宋_GB2312" w:eastAsia="仿宋_GB2312"/>
                <w:sz w:val="28"/>
                <w:szCs w:val="28"/>
              </w:rPr>
              <w:t>23.59</w:t>
            </w:r>
          </w:p>
        </w:tc>
        <w:tc>
          <w:tcPr>
            <w:tcW w:w="2088" w:type="dxa"/>
            <w:vAlign w:val="center"/>
          </w:tcPr>
          <w:p>
            <w:pPr>
              <w:jc w:val="center"/>
              <w:rPr>
                <w:rFonts w:ascii="仿宋_GB2312" w:eastAsia="仿宋_GB2312"/>
                <w:sz w:val="28"/>
                <w:szCs w:val="28"/>
              </w:rPr>
            </w:pPr>
            <w:r>
              <w:rPr>
                <w:rFonts w:ascii="仿宋_GB2312" w:eastAsia="仿宋_GB2312"/>
                <w:sz w:val="28"/>
                <w:szCs w:val="28"/>
              </w:rPr>
              <w:t>94.36%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效益</w:t>
            </w:r>
          </w:p>
        </w:tc>
        <w:tc>
          <w:tcPr>
            <w:tcW w:w="2087" w:type="dxa"/>
            <w:vAlign w:val="center"/>
          </w:tcPr>
          <w:p>
            <w:pPr>
              <w:jc w:val="center"/>
              <w:rPr>
                <w:rFonts w:ascii="仿宋_GB2312" w:eastAsia="仿宋_GB2312"/>
                <w:sz w:val="28"/>
                <w:szCs w:val="28"/>
              </w:rPr>
            </w:pPr>
            <w:r>
              <w:rPr>
                <w:rFonts w:hint="eastAsia" w:ascii="仿宋_GB2312" w:eastAsia="仿宋_GB2312"/>
                <w:sz w:val="28"/>
                <w:szCs w:val="28"/>
              </w:rPr>
              <w:t>35</w:t>
            </w:r>
          </w:p>
        </w:tc>
        <w:tc>
          <w:tcPr>
            <w:tcW w:w="2087" w:type="dxa"/>
            <w:vAlign w:val="center"/>
          </w:tcPr>
          <w:p>
            <w:pPr>
              <w:jc w:val="center"/>
              <w:rPr>
                <w:rFonts w:ascii="仿宋_GB2312" w:eastAsia="仿宋_GB2312"/>
                <w:sz w:val="28"/>
                <w:szCs w:val="28"/>
              </w:rPr>
            </w:pPr>
            <w:r>
              <w:rPr>
                <w:rFonts w:ascii="仿宋_GB2312" w:eastAsia="仿宋_GB2312"/>
                <w:sz w:val="28"/>
                <w:szCs w:val="28"/>
              </w:rPr>
              <w:t>30.29</w:t>
            </w:r>
          </w:p>
        </w:tc>
        <w:tc>
          <w:tcPr>
            <w:tcW w:w="2088" w:type="dxa"/>
            <w:vAlign w:val="center"/>
          </w:tcPr>
          <w:p>
            <w:pPr>
              <w:jc w:val="center"/>
              <w:rPr>
                <w:rFonts w:ascii="仿宋_GB2312" w:eastAsia="仿宋_GB2312"/>
                <w:sz w:val="28"/>
                <w:szCs w:val="28"/>
              </w:rPr>
            </w:pPr>
            <w:r>
              <w:rPr>
                <w:rFonts w:ascii="仿宋_GB2312" w:eastAsia="仿宋_GB2312"/>
                <w:sz w:val="28"/>
                <w:szCs w:val="28"/>
              </w:rPr>
              <w:t>86.54%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7" w:type="dxa"/>
          </w:tcPr>
          <w:p>
            <w:pPr>
              <w:spacing w:line="6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合计</w:t>
            </w:r>
          </w:p>
        </w:tc>
        <w:tc>
          <w:tcPr>
            <w:tcW w:w="2087" w:type="dxa"/>
            <w:vAlign w:val="center"/>
          </w:tcPr>
          <w:p>
            <w:pPr>
              <w:jc w:val="center"/>
              <w:rPr>
                <w:rFonts w:ascii="仿宋_GB2312" w:eastAsia="仿宋_GB2312"/>
                <w:sz w:val="28"/>
                <w:szCs w:val="28"/>
              </w:rPr>
            </w:pPr>
            <w:r>
              <w:rPr>
                <w:rFonts w:hint="eastAsia" w:ascii="仿宋_GB2312" w:eastAsia="仿宋_GB2312"/>
                <w:sz w:val="28"/>
                <w:szCs w:val="28"/>
              </w:rPr>
              <w:t>100</w:t>
            </w:r>
          </w:p>
        </w:tc>
        <w:tc>
          <w:tcPr>
            <w:tcW w:w="2087" w:type="dxa"/>
            <w:vAlign w:val="center"/>
          </w:tcPr>
          <w:p>
            <w:pPr>
              <w:jc w:val="center"/>
              <w:rPr>
                <w:rFonts w:ascii="仿宋_GB2312" w:eastAsia="仿宋_GB2312"/>
                <w:sz w:val="28"/>
                <w:szCs w:val="28"/>
              </w:rPr>
            </w:pPr>
            <w:r>
              <w:rPr>
                <w:rFonts w:ascii="仿宋_GB2312" w:eastAsia="仿宋_GB2312"/>
                <w:sz w:val="28"/>
                <w:szCs w:val="28"/>
              </w:rPr>
              <w:t>81.48</w:t>
            </w:r>
          </w:p>
        </w:tc>
        <w:tc>
          <w:tcPr>
            <w:tcW w:w="2088" w:type="dxa"/>
            <w:vAlign w:val="center"/>
          </w:tcPr>
          <w:p>
            <w:pPr>
              <w:jc w:val="center"/>
              <w:rPr>
                <w:rFonts w:ascii="仿宋_GB2312" w:eastAsia="仿宋_GB2312"/>
                <w:sz w:val="28"/>
                <w:szCs w:val="28"/>
              </w:rPr>
            </w:pPr>
            <w:r>
              <w:rPr>
                <w:rFonts w:ascii="仿宋_GB2312" w:eastAsia="仿宋_GB2312"/>
                <w:sz w:val="28"/>
                <w:szCs w:val="28"/>
              </w:rPr>
              <w:t>81.48%</w:t>
            </w:r>
          </w:p>
        </w:tc>
      </w:tr>
    </w:tbl>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（二）指标分析</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1.决策指标分析</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从整体决策看，项目依据《教育部关于开展现代学徒制试点工作的意见》（教职成〔2014〕9号）、《青岛市现代学徒试点工作实施方案》（青教通字〔2016〕1号）等政策文件设立；与部门职责相符，属于部门履职所需；不存在与相关部门同类项目或部门内部相关项目重复的情况。项目按要求设置绩效目标并分解为具体的绩效指标，项目预算额度测算依据充分，预算内容与项目内容相匹配，预算编制科学合理。但个别学校绩效目标缺少核心指值、指标设置重复的情况。（详见后附评价打分表）</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2.过程指标分析</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依据《青岛市现代学徒试点工作实施方案》（青教通字〔2016〕1号）、《青岛市现代学徒制试点项目管理办法（试行）》（青教通字〔2017〕14号）等相关文件的规定，各学校开展学徒制项目遴选、申报，并制定相应的项目实施方案、招生选拔制度、人才培养方案、双导师建设方案等相关制度。按照方案或制度开展合作企业遴选，学徒（学生）选拔、培养与考核等工作。但项目存在资金预算执行率偏低、资金管理不合规、人才培养方案周期与实际培养周期不相符、合作企业的遴选未执行比选程序等情况。（详见后附评价打分表）</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3.产出指标分析</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项目2024年28所学校共申报67个试点项目（专业）完成66个试点项目（专业），1970名学徒的培训任务，未发现试点专业不合规的情况。通过查阅学校的提供资料，项目产出数量方面，胶州市职业教育中心学校机电技术应用专业因合作企业预计生产任务重、加班多、安全风险增加等原因取消试点工作；项目产出质量方面，山东外贸职业学院市场营销专业合作企业-山东锦聚新能源有限公司不符合学校的企业遴选标准。（详见后附评价打分表）</w:t>
      </w:r>
    </w:p>
    <w:p>
      <w:pPr>
        <w:spacing w:line="600" w:lineRule="exact"/>
        <w:ind w:firstLine="640" w:firstLineChars="200"/>
        <w:rPr>
          <w:rFonts w:ascii="仿宋_GB2312" w:hAnsi="仿宋_GB2312" w:eastAsia="仿宋_GB2312" w:cs="仿宋_GB2312"/>
          <w:sz w:val="32"/>
          <w:szCs w:val="40"/>
        </w:rPr>
      </w:pPr>
      <w:r>
        <w:rPr>
          <w:rFonts w:hint="eastAsia" w:ascii="仿宋_GB2312" w:hAnsi="仿宋_GB2312" w:eastAsia="仿宋_GB2312" w:cs="仿宋_GB2312"/>
          <w:sz w:val="32"/>
          <w:szCs w:val="40"/>
        </w:rPr>
        <w:t>4.效益指标分析</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现代学徒制项目的实施，有效提升了学徒（学生）的技术技能水平，同时促进了试点专业教学质量的优化，近三年试点项目培训学徒（学生）平均就业率（含升学）97.84%。对受培训学徒（学生）进行电话问卷，完成电话问卷420人次，获取有效问卷136份，汇总结果显示满意度为94.42%。但项目存在试点项目学徒（学生）跟踪机制未健全的情况。（详见后附评价打分表）</w:t>
      </w:r>
    </w:p>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四、项目实施成效</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2024年度青岛市现代学徒制试点专业50个，项目培养学徒1970人，学徒考核达标率100%。项目在改革培养模式、深化校企协同、提升学徒（学生）的技术技能、优化专业教学质量等方面取得了显著成效。项目促进了教育链、人才链、产业链的有机衔接，为青岛区域经济转型升级提供了有力的人才支撑。</w:t>
      </w:r>
    </w:p>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五、发现的问题及原因分析</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（一）项目资金管理规范性不足</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1.资金政策执行存在偏差</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依据《关于印发〈青岛市职业教育校企合作专项经费管理办法（试行）〉的通知》（青教通字〔2017〕52号）：现代学徒制试点项目专项经费使用周期为三年，现代学徒制试点周期最后一年度8月底前，市现代学徒制试点工作领导小组组织考核专家组对试点项目进行验收，成绩合格后按照实际情况支付相关费用。实际实施周期为1年，每年度安排预算资金1000万元，资金分两次拨付，立项后拨付500万元，验收合格后拨付剩余500万元。</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资金政策执行存在偏差，一是管理办法明确规定项目周期为三年，但实际执行中压缩为一年，经费使用周期与培养周期不匹配。二是现行分两次拨付（立项500万+验收500万）的方式与管理办法要求的“验收合格后按实际情况支付”存在矛盾。</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2.未及时收回补助资金</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青岛西海岸新区职业中等专业学校新能源汽车运用与维修专业合作企业-上汽通用五菱汽车股份有限公司青岛分公司完成2024年度试点项目工作，因公司的生产经营资质原因，无法开具现代学徒制试点项目相关支出发票，自愿放弃申请项目补助资金20万元，项目补助资金已拨付区财政，未及时收回。</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3.项目预算执行率较低。</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_GB2312" w:eastAsia="仿宋_GB2312" w:cs="仿宋_GB2312"/>
          <w:sz w:val="32"/>
          <w:szCs w:val="40"/>
        </w:rPr>
        <w:t>2024年度安排预算资金1000万元，</w:t>
      </w:r>
      <w:r>
        <w:rPr>
          <w:rFonts w:hint="eastAsia" w:ascii="仿宋_GB2312" w:hAnsi="仿宋" w:eastAsia="仿宋_GB2312" w:cs="仿宋"/>
          <w:sz w:val="32"/>
          <w:szCs w:val="32"/>
        </w:rPr>
        <w:t>其中：500万元为2023年度校企合作经费项目尾款，500万元为2024年度校企合作经费项目首批款。截至2024年12月31日，资金实际到位1000万元，实际执行840万元，预算执行率84%。</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关于2023年度校企合作经费项目尾款，平度市职业教育中心学校、胶州市职业教育中心学校、青岛市城阳区职业中等专业学校的资金，市级资金拨付至当地财政后，当地财政未拨付至学校；青岛港湾职业技术学院属于省属学校，市级财政资金未拨付至学校。</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2024年度，第六批校企合作经费项目预算资金1000万元，全部由市级财政安排，资金分2批拨付，2024年3月拨付项目首批款500万元，2025年3月拨付项目验收合格后的尾款500万元。2024年底，市教育局组织项目验收，实际培养完成1970名学徒，应补助资金985万元，截至2025年7月17日，第六批校企合作经费项目预算资金实际到位资金985万元，实际执行数695.00万元，预算执行率70.56%。</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其中，青岛市城阳区、莱西市、平度市共4所职业院校，市级资金拨付至当地财政后，当地财政未拨付至学校；西海岸3所职业院校的项目尾款，当地财政未拨付至学校；青岛酒店管理职业技术学院、山东外贸职业学院属于省属学校，2所院校50%的项目尾款，市级财政资金未拨付至学校；青岛高新职业学校、青岛艺术学校、青岛电子学校的项目尾款已拨付至学校，因收集资金拨付材料、履行拨付审批程序等情况，预计2025年9月底拨付到合作企业。</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（二）人才培养方案的健全性有待加强</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通过查阅各学校材料发现，各专业虽已制定专门的人才培养方案，但在方案执行过程中存在两个突出问题：一是方案设计的3年培养周期与实际实施的1年培养周期存在显著差异，反映出培养规划与</w:t>
      </w:r>
      <w:bookmarkStart w:id="0" w:name="OLE_LINK15"/>
      <w:r>
        <w:rPr>
          <w:rFonts w:hint="eastAsia" w:ascii="仿宋_GB2312" w:hAnsi="仿宋" w:eastAsia="仿宋_GB2312" w:cs="仿宋"/>
          <w:sz w:val="32"/>
          <w:szCs w:val="32"/>
        </w:rPr>
        <w:t>实施过程脱节</w:t>
      </w:r>
      <w:bookmarkEnd w:id="0"/>
      <w:r>
        <w:rPr>
          <w:rFonts w:hint="eastAsia" w:ascii="仿宋_GB2312" w:hAnsi="仿宋" w:eastAsia="仿宋_GB2312" w:cs="仿宋"/>
          <w:sz w:val="32"/>
          <w:szCs w:val="32"/>
        </w:rPr>
        <w:t>；二是青岛幼儿师范学校、青岛艺术学校、青岛市城阳区职业中等专业学校等7个院校的相关专业培养方案中未明确设置具体的毕业考核标准，导致人才培养质量评价缺乏统一依据。</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（三）合作企业的遴选、审查工作有待加强</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通过查阅各学校材料发现，一是超过10所学校的相关专业合作企业的遴选未执行比选程序，主要是在过往的校企合作企业中选择企业，结合企业现场考察情况，通过学校党政联席、校长办公会等集体决议确定。未采取多家比选会存在企业资质审核不严、合作匹配度降低、资源利用效率下降等潜在风险。二是合作企业审查不严，山东外贸职业学院市场营销合作企业-山东锦聚新能源有限公司于2023年2月成立，未达到学校的企业遴选要求建立合作关系2年以上的标准。</w:t>
      </w:r>
    </w:p>
    <w:p>
      <w:pPr>
        <w:spacing w:line="600" w:lineRule="exact"/>
        <w:ind w:firstLine="640" w:firstLineChars="200"/>
        <w:rPr>
          <w:rFonts w:ascii="楷体_GB2312" w:hAnsi="楷体_GB2312" w:eastAsia="楷体_GB2312" w:cs="楷体_GB2312"/>
          <w:sz w:val="32"/>
          <w:szCs w:val="40"/>
        </w:rPr>
      </w:pPr>
      <w:bookmarkStart w:id="1" w:name="OLE_LINK8"/>
      <w:bookmarkStart w:id="2" w:name="OLE_LINK5"/>
      <w:r>
        <w:rPr>
          <w:rFonts w:hint="eastAsia" w:ascii="楷体_GB2312" w:hAnsi="楷体_GB2312" w:eastAsia="楷体_GB2312" w:cs="楷体_GB2312"/>
          <w:sz w:val="32"/>
          <w:szCs w:val="40"/>
        </w:rPr>
        <w:t>（四）</w:t>
      </w:r>
      <w:bookmarkStart w:id="3" w:name="OLE_LINK3"/>
      <w:bookmarkStart w:id="4" w:name="OLE_LINK4"/>
      <w:r>
        <w:rPr>
          <w:rFonts w:hint="eastAsia" w:ascii="楷体_GB2312" w:hAnsi="楷体_GB2312" w:eastAsia="楷体_GB2312" w:cs="楷体_GB2312"/>
          <w:sz w:val="32"/>
          <w:szCs w:val="40"/>
        </w:rPr>
        <w:t>遴选学徒（学生）工作不精细，导致培训任务未完成</w:t>
      </w:r>
    </w:p>
    <w:bookmarkEnd w:id="1"/>
    <w:bookmarkEnd w:id="2"/>
    <w:bookmarkEnd w:id="3"/>
    <w:bookmarkEnd w:id="4"/>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第六批现代学徒制试点项目，青岛市城阳区职业教育中心学校计划培训80人，实际完成50人培训任务，任务完成率62.5%，其中，数控技术应用专业计划培训40人，在企业实训阶段5名学生因自身原因退出实训，实际完成35人培训任务；服装设计与工艺专业计划培训40人，因参加全国服装技能大赛训练、退学、转学、升学等多种原因，最终15名学生去企业实训，实际完成15名培训任务。未足额完成培训任务，影响财政资金效益发挥。</w:t>
      </w:r>
    </w:p>
    <w:p>
      <w:pPr>
        <w:spacing w:line="600" w:lineRule="exact"/>
        <w:ind w:firstLine="640" w:firstLineChars="200"/>
        <w:rPr>
          <w:rFonts w:ascii="楷体_GB2312" w:hAnsi="楷体_GB2312" w:eastAsia="楷体_GB2312" w:cs="楷体_GB2312"/>
          <w:sz w:val="32"/>
          <w:szCs w:val="40"/>
        </w:rPr>
      </w:pPr>
      <w:r>
        <w:rPr>
          <w:rFonts w:hint="eastAsia" w:ascii="楷体_GB2312" w:hAnsi="楷体_GB2312" w:eastAsia="楷体_GB2312" w:cs="楷体_GB2312"/>
          <w:sz w:val="32"/>
          <w:szCs w:val="40"/>
        </w:rPr>
        <w:t>（五）</w:t>
      </w:r>
      <w:bookmarkStart w:id="5" w:name="OLE_LINK1"/>
      <w:r>
        <w:rPr>
          <w:rFonts w:hint="eastAsia" w:ascii="楷体_GB2312" w:hAnsi="楷体_GB2312" w:eastAsia="楷体_GB2312" w:cs="楷体_GB2312"/>
          <w:sz w:val="32"/>
          <w:szCs w:val="40"/>
        </w:rPr>
        <w:t>试点项目跟踪评价制度健全性不足</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项目未对培训的</w:t>
      </w:r>
      <w:bookmarkStart w:id="6" w:name="OLE_LINK6"/>
      <w:r>
        <w:rPr>
          <w:rFonts w:hint="eastAsia" w:ascii="仿宋_GB2312" w:hAnsi="仿宋" w:eastAsia="仿宋_GB2312" w:cs="仿宋"/>
          <w:sz w:val="32"/>
          <w:szCs w:val="32"/>
        </w:rPr>
        <w:t>学徒（学生）</w:t>
      </w:r>
      <w:bookmarkEnd w:id="6"/>
      <w:r>
        <w:rPr>
          <w:rFonts w:hint="eastAsia" w:ascii="仿宋_GB2312" w:hAnsi="仿宋" w:eastAsia="仿宋_GB2312" w:cs="仿宋"/>
          <w:sz w:val="32"/>
          <w:szCs w:val="32"/>
        </w:rPr>
        <w:t>毕业后就业情况建立跟踪评价制度，无法进行同期学员的横向能力对比，难以评估项目的长期效果，制约</w:t>
      </w:r>
      <w:bookmarkStart w:id="7" w:name="OLE_LINK7"/>
      <w:r>
        <w:rPr>
          <w:rFonts w:hint="eastAsia" w:ascii="仿宋_GB2312" w:hAnsi="仿宋" w:eastAsia="仿宋_GB2312" w:cs="仿宋"/>
          <w:sz w:val="32"/>
          <w:szCs w:val="32"/>
        </w:rPr>
        <w:t>人才培养方案</w:t>
      </w:r>
      <w:bookmarkEnd w:id="7"/>
      <w:r>
        <w:rPr>
          <w:rFonts w:hint="eastAsia" w:ascii="仿宋_GB2312" w:hAnsi="仿宋" w:eastAsia="仿宋_GB2312" w:cs="仿宋"/>
          <w:sz w:val="32"/>
          <w:szCs w:val="32"/>
        </w:rPr>
        <w:t>的迭代优化。</w:t>
      </w:r>
    </w:p>
    <w:bookmarkEnd w:id="5"/>
    <w:p>
      <w:pPr>
        <w:spacing w:line="600" w:lineRule="exact"/>
        <w:ind w:firstLine="640" w:firstLineChars="200"/>
        <w:rPr>
          <w:rFonts w:ascii="黑体" w:hAnsi="黑体" w:eastAsia="黑体" w:cs="黑体"/>
          <w:sz w:val="32"/>
          <w:szCs w:val="40"/>
        </w:rPr>
      </w:pPr>
      <w:r>
        <w:rPr>
          <w:rFonts w:hint="eastAsia" w:ascii="黑体" w:hAnsi="黑体" w:eastAsia="黑体" w:cs="黑体"/>
          <w:sz w:val="32"/>
          <w:szCs w:val="40"/>
        </w:rPr>
        <w:t>六、相关建议</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（一）强化资金管理，有效提升资金使用质效</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1.建议市教育局牵头修订经费管理办法。为解决现代学徒制试点项目专项经费政策执行中的偏差问题，使经费管理更贴合实际需求，建议从如下方面完善经费管理办法。一是合理调整项目及经费使用周期，根据人才培养目标和实际需求，明确现代学徒制试点项目周期，确保经费使用周期与项目周期保持一致。二是完善验收与经费核算机制，细化验收标准、考核等级和流程，为经费拨付提供明确依据。明确经费使用范围，规范经费使用台账，验收时对经费使用的合理性、合规性进行核查，确保经费使用透明、高效。三是调整经费拨付方式，项目在验收合格后一次性兑付补助资金。四是补充政策衔接说明，在管理办法中增加政策衔接条款，对过去执行过程中出现的周期与拨付方式不匹配等问题，明确过渡处理办法，确保新修订的管理办法在实施过程中平稳衔接，避免出现政策执行的断层或混乱。</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同时应同步修订学徒制工作实施方案等制度文件，确保各环节有章可循。严格按照修订后的管理办法调整优化以后年度的预算安排。</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2.青岛西海岸新区职业中等专业学校新能源汽车运用与维修专业合作企业上汽通用五菱汽车股份有限公司青岛分公司自愿放弃申请项目补助资金，请相关部门及时收回补助资金。</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3.调整补助资金兑付节点，优化支付流程，加快预算执行进度。建议市教育局结合学校实际教学工作，将原实施周期年度（如2024年1月-2024年12月）调整为学年度周期（如2024年9月-2025年7月），验收工作于当年9月份开展，项目在验收合格后一次性兑付补助资金。验收工作完毕后，市教育局将资金分配意见函告市财政局，由市财政局直接会同市教育局主管部门拨付至合作企业，减少资金流转环节，提高资金拨付效率和使用效率。</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4.建议市教育局加强绩效目标设置培训指导，在年初设置绩效目标时，根据项目特点编制项目绩效指标，加强对重点、核心指标的设置，让绩效指标更加合理，资金管理更科学。</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（二）精准定位培养目标与核心内容，优化人才培养方案</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建议各试点学校结合当前职业教育改革方向，根据不同专业的人才培养目标、知识技能体系复杂度以及企业实际需求，科学设定并严格执行培养方案。一是聚焦岗位核心需求，联合合作企业深入分析目标岗位的核心技能、必备知识和职业素养，砍掉与岗位关联度低的课程内容，将1年周期的教学内容聚焦于“岗位刚需”。二是明确阶段性目标：将1年周期划分为3-4个阶段，每个阶段设定清晰可量化的目标。如第一个阶段完成基础理论和入门技能学习，第二个阶段进行专项技能强化训练，第三个阶段开展岗位模拟实训，第四个阶段进入企业顶岗实习，确保各阶段目标紧密衔接，层层递进。三是明确设置具体的毕业考核标准，构建多维度考核指标体系，根据专业特点，在方案中明确毕业考核的具体内容，包括理论知识考核（课程成绩、综合笔试等）、实践技能考核（职业技能证书、实训操作、项目成果展示等）、职业素养评价（职业道德、团队协作能力、沟通能力等）。四是定期评估与更新，人才培养方案每2-3年进行一次全面评估修订，结合行业发展趋势、技术革新情况、毕业生就业反馈以及考核结果分析等，及时调整培养目标、课程体系和教学要求，保证方案的时效性和针对性。</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（三）强化试点项目的上层设计，切实提升合作企业质量</w:t>
      </w:r>
    </w:p>
    <w:p>
      <w:pPr>
        <w:adjustRightInd w:val="0"/>
        <w:snapToGrid w:val="0"/>
        <w:spacing w:line="564" w:lineRule="exact"/>
        <w:ind w:firstLine="640" w:firstLineChars="200"/>
        <w:outlineLvl w:val="0"/>
        <w:rPr>
          <w:rFonts w:ascii="仿宋_GB2312" w:hAnsi="仿宋" w:eastAsia="仿宋_GB2312" w:cs="仿宋"/>
          <w:sz w:val="32"/>
          <w:szCs w:val="32"/>
        </w:rPr>
      </w:pPr>
      <w:bookmarkStart w:id="8" w:name="OLE_LINK11"/>
      <w:r>
        <w:rPr>
          <w:rFonts w:hint="eastAsia" w:ascii="仿宋_GB2312" w:hAnsi="仿宋" w:eastAsia="仿宋_GB2312" w:cs="仿宋"/>
          <w:sz w:val="32"/>
          <w:szCs w:val="32"/>
        </w:rPr>
        <w:t>建议市教育局牵头</w:t>
      </w:r>
      <w:bookmarkEnd w:id="8"/>
      <w:r>
        <w:rPr>
          <w:rFonts w:hint="eastAsia" w:ascii="仿宋_GB2312" w:hAnsi="仿宋" w:eastAsia="仿宋_GB2312" w:cs="仿宋"/>
          <w:sz w:val="32"/>
          <w:szCs w:val="32"/>
        </w:rPr>
        <w:t>制定合作企业遴选管理办法，通过规范遴选流程与关键环节，构建科学高效的合作企业准入机制。</w:t>
      </w:r>
    </w:p>
    <w:p>
      <w:pPr>
        <w:adjustRightInd w:val="0"/>
        <w:snapToGrid w:val="0"/>
        <w:spacing w:line="564" w:lineRule="exact"/>
        <w:ind w:firstLine="640" w:firstLineChars="200"/>
        <w:outlineLvl w:val="0"/>
        <w:rPr>
          <w:rFonts w:ascii="仿宋_GB2312" w:hAnsi="仿宋" w:eastAsia="仿宋_GB2312" w:cs="仿宋"/>
          <w:sz w:val="32"/>
          <w:szCs w:val="32"/>
        </w:rPr>
      </w:pPr>
      <w:bookmarkStart w:id="9" w:name="OLE_LINK10"/>
      <w:r>
        <w:rPr>
          <w:rFonts w:hint="eastAsia" w:ascii="仿宋_GB2312" w:hAnsi="仿宋" w:eastAsia="仿宋_GB2312" w:cs="仿宋"/>
          <w:sz w:val="32"/>
          <w:szCs w:val="32"/>
        </w:rPr>
        <w:t>管理办法需</w:t>
      </w:r>
      <w:bookmarkEnd w:id="9"/>
      <w:r>
        <w:rPr>
          <w:rFonts w:hint="eastAsia" w:ascii="仿宋_GB2312" w:hAnsi="仿宋" w:eastAsia="仿宋_GB2312" w:cs="仿宋"/>
          <w:sz w:val="32"/>
          <w:szCs w:val="32"/>
        </w:rPr>
        <w:t>明确规定遴选工作的三大基础要求：一是组建专业化评审委员会，成员应涵盖教育领域专家、行业企业代表、财务及法律专业人员等，确保评审的权威性与客观性；二是全程留存比选过程记录，包括申报材料、评审打分表、现场问答记录等，形成完整档案备查，保障遴选工作的可追溯性；三是严格执行结果公示制度，公示内容需包括入选企业名单、评审得分及主要优势，接受社会监督。</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管理办法需规范关键环节落地流程。一是需求发布，市教育局或各试点学校根据试点项目人才培养目标及产业对接需求，制定详细的企业合作标准（如行业资质、实训条件、师资配备等），通过官方网站、行业协会渠道等公开发布遴选公告，明确申报条件、截止时间及材料要求。</w:t>
      </w:r>
      <w:r>
        <w:rPr>
          <w:rFonts w:hint="eastAsia" w:ascii="MS Gothic" w:hAnsi="MS Gothic" w:eastAsia="MS Gothic" w:cs="MS Gothic"/>
          <w:sz w:val="32"/>
          <w:szCs w:val="32"/>
        </w:rPr>
        <w:t>​</w:t>
      </w:r>
      <w:r>
        <w:rPr>
          <w:rFonts w:hint="eastAsia" w:ascii="仿宋_GB2312" w:hAnsi="仿宋" w:eastAsia="仿宋_GB2312" w:cs="仿宋"/>
          <w:sz w:val="32"/>
          <w:szCs w:val="32"/>
        </w:rPr>
        <w:t>二是企业申报，意向企业需在规定期限内提交申报材料，包括企业资质证明、合作方案（含实训计划、岗位保障等）、过往合作案例等，确保材料真实完整。</w:t>
      </w:r>
      <w:r>
        <w:rPr>
          <w:rFonts w:hint="eastAsia" w:ascii="MS Gothic" w:hAnsi="MS Gothic" w:eastAsia="MS Gothic" w:cs="MS Gothic"/>
          <w:sz w:val="32"/>
          <w:szCs w:val="32"/>
        </w:rPr>
        <w:t>​</w:t>
      </w:r>
      <w:r>
        <w:rPr>
          <w:rFonts w:ascii="仿宋_GB2312" w:hAnsi="仿宋" w:eastAsia="仿宋_GB2312" w:cs="仿宋"/>
          <w:sz w:val="32"/>
          <w:szCs w:val="32"/>
        </w:rPr>
        <w:t>三是</w:t>
      </w:r>
      <w:r>
        <w:rPr>
          <w:rFonts w:hint="eastAsia" w:ascii="仿宋_GB2312" w:hAnsi="仿宋" w:eastAsia="仿宋_GB2312" w:cs="仿宋"/>
          <w:sz w:val="32"/>
          <w:szCs w:val="32"/>
        </w:rPr>
        <w:t>资质审查，评审委员会对申报企业进行首轮筛选，重点核查企业营业执照、行业许可证、信用记录等资质文件，剔除不符合基本要求的企业，审查结果需形成书面意见，注明通过或淘汰原因。</w:t>
      </w:r>
      <w:r>
        <w:rPr>
          <w:rFonts w:hint="eastAsia" w:ascii="MS Gothic" w:hAnsi="MS Gothic" w:eastAsia="MS Gothic" w:cs="MS Gothic"/>
          <w:sz w:val="32"/>
          <w:szCs w:val="32"/>
        </w:rPr>
        <w:t>​</w:t>
      </w:r>
      <w:r>
        <w:rPr>
          <w:rFonts w:hint="eastAsia" w:ascii="仿宋_GB2312" w:hAnsi="仿宋" w:eastAsia="仿宋_GB2312" w:cs="仿宋"/>
          <w:sz w:val="32"/>
          <w:szCs w:val="32"/>
        </w:rPr>
        <w:t>四是现场比选，对通过资质审查的企业，组织现场评审环节。企业需进行路演答辩，阐述合作优势与实施路径，评审委员会结合实地考察情况（如实训场地、设备条件等），按照预设评分标准（如权重分配：资质实力</w:t>
      </w:r>
      <w:r>
        <w:rPr>
          <w:rFonts w:ascii="仿宋_GB2312" w:hAnsi="仿宋" w:eastAsia="仿宋_GB2312" w:cs="仿宋"/>
          <w:sz w:val="32"/>
          <w:szCs w:val="32"/>
        </w:rPr>
        <w:t xml:space="preserve"> 30%</w:t>
      </w:r>
      <w:r>
        <w:rPr>
          <w:rFonts w:hint="eastAsia" w:ascii="仿宋_GB2312" w:hAnsi="仿宋" w:eastAsia="仿宋_GB2312" w:cs="仿宋"/>
          <w:sz w:val="32"/>
          <w:szCs w:val="32"/>
        </w:rPr>
        <w:t>、合作方案</w:t>
      </w:r>
      <w:r>
        <w:rPr>
          <w:rFonts w:ascii="仿宋_GB2312" w:hAnsi="仿宋" w:eastAsia="仿宋_GB2312" w:cs="仿宋"/>
          <w:sz w:val="32"/>
          <w:szCs w:val="32"/>
        </w:rPr>
        <w:t xml:space="preserve"> 40%</w:t>
      </w:r>
      <w:r>
        <w:rPr>
          <w:rFonts w:hint="eastAsia" w:ascii="仿宋_GB2312" w:hAnsi="仿宋" w:eastAsia="仿宋_GB2312" w:cs="仿宋"/>
          <w:sz w:val="32"/>
          <w:szCs w:val="32"/>
        </w:rPr>
        <w:t>、行业口碑</w:t>
      </w:r>
      <w:r>
        <w:rPr>
          <w:rFonts w:ascii="仿宋_GB2312" w:hAnsi="仿宋" w:eastAsia="仿宋_GB2312" w:cs="仿宋"/>
          <w:sz w:val="32"/>
          <w:szCs w:val="32"/>
        </w:rPr>
        <w:t xml:space="preserve"> 30%</w:t>
      </w:r>
      <w:r>
        <w:rPr>
          <w:rFonts w:hint="eastAsia" w:ascii="仿宋_GB2312" w:hAnsi="仿宋" w:eastAsia="仿宋_GB2312" w:cs="仿宋"/>
          <w:sz w:val="32"/>
          <w:szCs w:val="32"/>
        </w:rPr>
        <w:t>）进行量化打分，现场公布得分并记录存档。</w:t>
      </w:r>
      <w:r>
        <w:rPr>
          <w:rFonts w:hint="eastAsia" w:ascii="MS Gothic" w:hAnsi="MS Gothic" w:eastAsia="MS Gothic" w:cs="MS Gothic"/>
          <w:sz w:val="32"/>
          <w:szCs w:val="32"/>
        </w:rPr>
        <w:t>​</w:t>
      </w:r>
      <w:r>
        <w:rPr>
          <w:rFonts w:hint="eastAsia" w:ascii="仿宋_GB2312" w:hAnsi="仿宋" w:eastAsia="仿宋_GB2312" w:cs="仿宋"/>
          <w:sz w:val="32"/>
          <w:szCs w:val="32"/>
        </w:rPr>
        <w:t>五是结果公示与确认，根据现场比选得分排序确定拟合作企业名单，按要求完成公示，公示无异议后，由试点学校与入选企业签订合作协议，明确双方权利义务及退出机制。</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（四）进一步强化遴选学生工作的精准性，确保培训任务足额完成</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 xml:space="preserve">建议各试点学校，一是精准定位遴选标准，重点评估学生的稳定性，结合历届学生的培训情况，排查学生的赛事参与、升学规划、职业规划等情况，精准定位学生的发展方向，从源头降低退出风险。二是构建弹性储备机制，应对培训计划限制，适当扩大招生比例，建立“预备学徒库”，储备候补学员。三是强化协同联动，提升培训保障能力。与合作企业深入沟通，合理调整实训时间和内容，尽量避免与学生的赛事、升学等安排冲突。建立责任与激励机制，将遴选准确率和培训任务完成率纳入导师的考核指标，与绩效挂钩。 </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（五）</w:t>
      </w:r>
      <w:bookmarkStart w:id="10" w:name="OLE_LINK2"/>
      <w:r>
        <w:rPr>
          <w:rFonts w:hint="eastAsia" w:ascii="楷体_GB2312" w:hAnsi="楷体_GB2312" w:eastAsia="楷体_GB2312" w:cs="楷体_GB2312"/>
          <w:sz w:val="32"/>
          <w:szCs w:val="40"/>
        </w:rPr>
        <w:t>健全跟踪评价机制</w:t>
      </w:r>
      <w:bookmarkEnd w:id="10"/>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建议市教育局牵头搭建信息跟踪管理平台，组建专门的信息管理系统，涵盖</w:t>
      </w:r>
      <w:bookmarkStart w:id="11" w:name="OLE_LINK19"/>
      <w:r>
        <w:rPr>
          <w:rFonts w:hint="eastAsia" w:ascii="仿宋_GB2312" w:hAnsi="仿宋" w:eastAsia="仿宋_GB2312" w:cs="仿宋"/>
          <w:sz w:val="32"/>
          <w:szCs w:val="32"/>
        </w:rPr>
        <w:t>学徒（学生）</w:t>
      </w:r>
      <w:bookmarkEnd w:id="11"/>
      <w:r>
        <w:rPr>
          <w:rFonts w:hint="eastAsia" w:ascii="仿宋_GB2312" w:hAnsi="仿宋" w:eastAsia="仿宋_GB2312" w:cs="仿宋"/>
          <w:sz w:val="32"/>
          <w:szCs w:val="32"/>
        </w:rPr>
        <w:t>基本信息（姓名、专业、入学及毕业时间等）、就业信息（就业单位、岗位、薪资、入职时间、离职情况等）、能力评价信息（技能证书获取、岗能匹配度等）、学员自我反馈信息（工作满意度、职业发展规划等）。</w:t>
      </w:r>
    </w:p>
    <w:p>
      <w:pPr>
        <w:adjustRightInd w:val="0"/>
        <w:snapToGrid w:val="0"/>
        <w:spacing w:line="564" w:lineRule="exact"/>
        <w:ind w:firstLine="640" w:firstLineChars="200"/>
        <w:outlineLvl w:val="0"/>
        <w:rPr>
          <w:rFonts w:ascii="仿宋_GB2312" w:hAnsi="仿宋" w:eastAsia="仿宋_GB2312" w:cs="仿宋"/>
          <w:sz w:val="32"/>
          <w:szCs w:val="32"/>
        </w:rPr>
      </w:pPr>
      <w:r>
        <w:rPr>
          <w:rFonts w:hint="eastAsia" w:ascii="仿宋_GB2312" w:hAnsi="仿宋" w:eastAsia="仿宋_GB2312" w:cs="仿宋"/>
          <w:sz w:val="32"/>
          <w:szCs w:val="32"/>
        </w:rPr>
        <w:t>建立多方信息采集机制，通过平台在线问卷、电话回访、面谈等方式，定期收集学徒（学生）的就业状况、工作内容、技能应用情况、对培训内容的反馈等信息。与学徒（学生）就业单位建立沟通渠道，收集企业对学员专业技能、职业素养、岗位适应能力等方面的评价，同时了解企业对人才的需求变化。</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结合长期跟踪数据，定期（如每年）形成人才培养效果评估报告，总结经验和存在的问题，及时优化人才培养方案。</w:t>
      </w:r>
    </w:p>
    <w:p>
      <w:pPr>
        <w:adjustRightInd w:val="0"/>
        <w:snapToGrid w:val="0"/>
        <w:spacing w:line="564" w:lineRule="exact"/>
        <w:ind w:firstLine="640" w:firstLineChars="200"/>
        <w:outlineLvl w:val="0"/>
        <w:rPr>
          <w:rFonts w:ascii="楷体_GB2312" w:hAnsi="楷体_GB2312" w:eastAsia="楷体_GB2312" w:cs="楷体_GB2312"/>
          <w:sz w:val="32"/>
          <w:szCs w:val="40"/>
        </w:rPr>
      </w:pPr>
      <w:r>
        <w:rPr>
          <w:rFonts w:hint="eastAsia" w:ascii="楷体_GB2312" w:hAnsi="楷体_GB2312" w:eastAsia="楷体_GB2312" w:cs="楷体_GB2312"/>
          <w:sz w:val="32"/>
          <w:szCs w:val="40"/>
        </w:rPr>
        <w:t>（六）多措施并举，推动就业与升学协同发展</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依据青岛市教育局提供的《关于青岛市2022-2024年市级现代学徒制学生就业统计情况说明》，近三年试点项目培训学徒（学生）入企就业率为26.68%。</w:t>
      </w:r>
    </w:p>
    <w:p>
      <w:pPr>
        <w:spacing w:line="60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为实现产教融合共生，需求精准对接，建议市教育局一是严格专业与学校的遴选标准，聚焦区域内产业发展急需、企业用工缺口大的专业，支持国家、省、市重点建设项目的职业院校，提高高职院校学徒培养人数规模占比（2024年度项目高职院校学徒规模占比380/2000=19%），中职院校重点突出五年一贯制专业，从源头上提升就业岗位的适配性。二是完善项目验收与考核机制，将入企就业率、专业对口率、职业证书获取率、合作企业用工率、企业导师授课时长、学徒实训时长等纳入核心验收指标，明确规定项目验收合格的整体入企就业率标准。三是优化奖励机制，结合验收考核结果分等级设置奖补，最大化发挥财政资金激励作用。</w:t>
      </w:r>
    </w:p>
    <w:p>
      <w:pPr>
        <w:spacing w:line="600" w:lineRule="exact"/>
        <w:ind w:firstLine="640" w:firstLineChars="200"/>
        <w:rPr>
          <w:rFonts w:ascii="楷体_GB2312" w:hAnsi="楷体_GB2312" w:eastAsia="楷体_GB2312" w:cs="楷体_GB2312"/>
          <w:sz w:val="32"/>
          <w:szCs w:val="32"/>
        </w:rPr>
      </w:pPr>
      <w:r>
        <w:rPr>
          <w:rFonts w:hint="eastAsia" w:ascii="仿宋_GB2312" w:hAnsi="仿宋" w:eastAsia="仿宋_GB2312" w:cs="仿宋"/>
          <w:sz w:val="32"/>
          <w:szCs w:val="32"/>
        </w:rPr>
        <w:t>建议各试点学校，一是精准对接企业用工需求，以企业用工需求为导向，推动合作企业深度参与人才培养过程，根据企业岗位需求共同制定教学计划、设计实训项目等，及时优化培养方案，确保培养的学徒（学生）与企业用工需求精准匹配。二是优化遴选学徒（学生）机制，在遴选阶段与合作企业联合开展宣传，明确告知学生该专业对应的企业岗位、就业前景、薪资福利等信息，着重企业面试环节，从企业用工角度遴选学徒（学生）。三是加强校内实训基地建设与管理，按企业真实场景建设实训基地，定期开展实训基地与岗位需求的动态适配评估，根据评估结果及时调整实训基地的布局、设备和实训内容。四是优化课程设置，提升就业适配能力。基于岗位需求优化课程内容，组织学校教师与企业技术骨干共同梳理各岗位的核心技能和知识要点。强化实践课程与岗位对接，增加实践课程的比重。融入职业素养与就业指导课程，培养学生适应职场的软技能。</w:t>
      </w:r>
    </w:p>
    <w:sectPr>
      <w:footerReference r:id="rId3" w:type="default"/>
      <w:pgSz w:w="11906" w:h="16838"/>
      <w:pgMar w:top="2041" w:right="1701" w:bottom="2041" w:left="1701" w:header="851" w:footer="1361" w:gutter="0"/>
      <w:pgNumType w:start="1"/>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Microsoft YaHei UI"/>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Microsoft YaHei UI">
    <w:panose1 w:val="020B0503020204020204"/>
    <w:charset w:val="86"/>
    <w:family w:val="auto"/>
    <w:pitch w:val="default"/>
    <w:sig w:usb0="80000287" w:usb1="28C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swiss"/>
    <w:pitch w:val="default"/>
    <w:sig w:usb0="00007A87" w:usb1="80000000" w:usb2="00000008" w:usb3="00000000" w:csb0="400001FF" w:csb1="FFFF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A00002BF" w:usb1="68C7FCFB" w:usb2="00000010"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pPr>
                  <w:pStyle w:val="4"/>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 xml:space="preserve">— </w:t>
                </w:r>
                <w:r>
                  <w:rPr>
                    <w:rFonts w:hint="eastAsia" w:asciiTheme="majorEastAsia" w:hAnsiTheme="majorEastAsia" w:eastAsiaTheme="majorEastAsia" w:cstheme="majorEastAsia"/>
                    <w:sz w:val="24"/>
                  </w:rPr>
                  <w:fldChar w:fldCharType="begin"/>
                </w:r>
                <w:r>
                  <w:rPr>
                    <w:rFonts w:hint="eastAsia" w:asciiTheme="majorEastAsia" w:hAnsiTheme="majorEastAsia" w:eastAsiaTheme="majorEastAsia" w:cstheme="majorEastAsia"/>
                    <w:sz w:val="24"/>
                  </w:rPr>
                  <w:instrText xml:space="preserve"> PAGE  \* MERGEFORMAT </w:instrText>
                </w:r>
                <w:r>
                  <w:rPr>
                    <w:rFonts w:hint="eastAsia" w:asciiTheme="majorEastAsia" w:hAnsiTheme="majorEastAsia" w:eastAsiaTheme="majorEastAsia" w:cstheme="majorEastAsia"/>
                    <w:sz w:val="24"/>
                  </w:rPr>
                  <w:fldChar w:fldCharType="separate"/>
                </w:r>
                <w:r>
                  <w:rPr>
                    <w:rFonts w:asciiTheme="majorEastAsia" w:hAnsiTheme="majorEastAsia" w:eastAsiaTheme="majorEastAsia" w:cstheme="majorEastAsia"/>
                    <w:sz w:val="24"/>
                  </w:rPr>
                  <w:t>26</w:t>
                </w:r>
                <w:r>
                  <w:rPr>
                    <w:rFonts w:hint="eastAsia" w:asciiTheme="majorEastAsia" w:hAnsiTheme="majorEastAsia" w:eastAsiaTheme="majorEastAsia" w:cstheme="majorEastAsia"/>
                    <w:sz w:val="24"/>
                  </w:rPr>
                  <w:fldChar w:fldCharType="end"/>
                </w:r>
                <w:r>
                  <w:rPr>
                    <w:rFonts w:hint="eastAsia" w:asciiTheme="majorEastAsia" w:hAnsiTheme="majorEastAsia" w:eastAsiaTheme="majorEastAsia" w:cstheme="majorEastAsia"/>
                    <w:sz w:val="24"/>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MzE2YzU2M2FhYTczMzY0NTJkZjllNWI2ZjIzZGQ5YWEifQ=="/>
  </w:docVars>
  <w:rsids>
    <w:rsidRoot w:val="0021272E"/>
    <w:rsid w:val="00002DC6"/>
    <w:rsid w:val="00007AAE"/>
    <w:rsid w:val="00013E4D"/>
    <w:rsid w:val="00016BB8"/>
    <w:rsid w:val="0002128C"/>
    <w:rsid w:val="000269CA"/>
    <w:rsid w:val="00031CDD"/>
    <w:rsid w:val="00040EFF"/>
    <w:rsid w:val="00043B79"/>
    <w:rsid w:val="0005300B"/>
    <w:rsid w:val="00053CA8"/>
    <w:rsid w:val="000622B0"/>
    <w:rsid w:val="00062BAA"/>
    <w:rsid w:val="000736D3"/>
    <w:rsid w:val="00073A0A"/>
    <w:rsid w:val="00077C38"/>
    <w:rsid w:val="00084129"/>
    <w:rsid w:val="00093D7E"/>
    <w:rsid w:val="0009464D"/>
    <w:rsid w:val="0009657A"/>
    <w:rsid w:val="000C4463"/>
    <w:rsid w:val="000D3718"/>
    <w:rsid w:val="000D6DA1"/>
    <w:rsid w:val="000E034B"/>
    <w:rsid w:val="000E34C4"/>
    <w:rsid w:val="0010435F"/>
    <w:rsid w:val="00105F24"/>
    <w:rsid w:val="0011090D"/>
    <w:rsid w:val="00122DF8"/>
    <w:rsid w:val="00125399"/>
    <w:rsid w:val="001319D9"/>
    <w:rsid w:val="0013227E"/>
    <w:rsid w:val="00146C24"/>
    <w:rsid w:val="001470EC"/>
    <w:rsid w:val="00150980"/>
    <w:rsid w:val="00156580"/>
    <w:rsid w:val="00161CF2"/>
    <w:rsid w:val="00163531"/>
    <w:rsid w:val="001665EF"/>
    <w:rsid w:val="00166856"/>
    <w:rsid w:val="0018276C"/>
    <w:rsid w:val="001842D2"/>
    <w:rsid w:val="00187863"/>
    <w:rsid w:val="00193BDB"/>
    <w:rsid w:val="00193E06"/>
    <w:rsid w:val="00193F28"/>
    <w:rsid w:val="001B0514"/>
    <w:rsid w:val="001B372A"/>
    <w:rsid w:val="001B6C48"/>
    <w:rsid w:val="001C45C7"/>
    <w:rsid w:val="001C604B"/>
    <w:rsid w:val="001D535D"/>
    <w:rsid w:val="001D6B00"/>
    <w:rsid w:val="001E1DA1"/>
    <w:rsid w:val="001E443C"/>
    <w:rsid w:val="001F2123"/>
    <w:rsid w:val="001F4184"/>
    <w:rsid w:val="001F5ED4"/>
    <w:rsid w:val="00206CDE"/>
    <w:rsid w:val="002108F5"/>
    <w:rsid w:val="00211154"/>
    <w:rsid w:val="00212436"/>
    <w:rsid w:val="0021272E"/>
    <w:rsid w:val="00212BD0"/>
    <w:rsid w:val="00213553"/>
    <w:rsid w:val="00213FBD"/>
    <w:rsid w:val="00215D12"/>
    <w:rsid w:val="00222BC4"/>
    <w:rsid w:val="00226842"/>
    <w:rsid w:val="00234B62"/>
    <w:rsid w:val="00243C1C"/>
    <w:rsid w:val="00252AD9"/>
    <w:rsid w:val="0026052F"/>
    <w:rsid w:val="002637A4"/>
    <w:rsid w:val="002817F7"/>
    <w:rsid w:val="00283087"/>
    <w:rsid w:val="0028323C"/>
    <w:rsid w:val="00286253"/>
    <w:rsid w:val="00287742"/>
    <w:rsid w:val="00292481"/>
    <w:rsid w:val="00295AF0"/>
    <w:rsid w:val="002B5255"/>
    <w:rsid w:val="002B59BA"/>
    <w:rsid w:val="002C7456"/>
    <w:rsid w:val="002D17AD"/>
    <w:rsid w:val="002D53DA"/>
    <w:rsid w:val="002E3D10"/>
    <w:rsid w:val="002E5892"/>
    <w:rsid w:val="003127C1"/>
    <w:rsid w:val="00324968"/>
    <w:rsid w:val="00333566"/>
    <w:rsid w:val="00333656"/>
    <w:rsid w:val="00333924"/>
    <w:rsid w:val="003362E2"/>
    <w:rsid w:val="00347D02"/>
    <w:rsid w:val="00383DD2"/>
    <w:rsid w:val="003853C5"/>
    <w:rsid w:val="003856A6"/>
    <w:rsid w:val="00385BED"/>
    <w:rsid w:val="00390B1A"/>
    <w:rsid w:val="00393A54"/>
    <w:rsid w:val="003942C7"/>
    <w:rsid w:val="003A3395"/>
    <w:rsid w:val="003A5F8B"/>
    <w:rsid w:val="003B5586"/>
    <w:rsid w:val="003D1A54"/>
    <w:rsid w:val="003D2FEA"/>
    <w:rsid w:val="003E5EB6"/>
    <w:rsid w:val="003E7950"/>
    <w:rsid w:val="003F3176"/>
    <w:rsid w:val="003F373D"/>
    <w:rsid w:val="003F3AF6"/>
    <w:rsid w:val="00404062"/>
    <w:rsid w:val="00425A77"/>
    <w:rsid w:val="00432631"/>
    <w:rsid w:val="00433C99"/>
    <w:rsid w:val="00441779"/>
    <w:rsid w:val="00443370"/>
    <w:rsid w:val="0045516B"/>
    <w:rsid w:val="004803C9"/>
    <w:rsid w:val="004852F1"/>
    <w:rsid w:val="0048754B"/>
    <w:rsid w:val="00495308"/>
    <w:rsid w:val="004A0EA1"/>
    <w:rsid w:val="004A1535"/>
    <w:rsid w:val="004A7600"/>
    <w:rsid w:val="004B135A"/>
    <w:rsid w:val="004B1645"/>
    <w:rsid w:val="004D2B53"/>
    <w:rsid w:val="004D4306"/>
    <w:rsid w:val="004E1EC3"/>
    <w:rsid w:val="004F02C4"/>
    <w:rsid w:val="004F0F85"/>
    <w:rsid w:val="004F3C5B"/>
    <w:rsid w:val="004F68C1"/>
    <w:rsid w:val="00503116"/>
    <w:rsid w:val="00503EB2"/>
    <w:rsid w:val="005067EE"/>
    <w:rsid w:val="005174DF"/>
    <w:rsid w:val="00522376"/>
    <w:rsid w:val="00546797"/>
    <w:rsid w:val="0054790E"/>
    <w:rsid w:val="005524A2"/>
    <w:rsid w:val="005531E6"/>
    <w:rsid w:val="00555B64"/>
    <w:rsid w:val="005619A2"/>
    <w:rsid w:val="00561CD8"/>
    <w:rsid w:val="00570469"/>
    <w:rsid w:val="00574648"/>
    <w:rsid w:val="00577734"/>
    <w:rsid w:val="005820F3"/>
    <w:rsid w:val="00587053"/>
    <w:rsid w:val="0059084F"/>
    <w:rsid w:val="00590BDF"/>
    <w:rsid w:val="00593B2D"/>
    <w:rsid w:val="005A3EA0"/>
    <w:rsid w:val="005C4F90"/>
    <w:rsid w:val="005F0690"/>
    <w:rsid w:val="005F5ED9"/>
    <w:rsid w:val="005F65B5"/>
    <w:rsid w:val="00604969"/>
    <w:rsid w:val="00607A2D"/>
    <w:rsid w:val="006154FF"/>
    <w:rsid w:val="00617CFA"/>
    <w:rsid w:val="00622705"/>
    <w:rsid w:val="006339BB"/>
    <w:rsid w:val="00635D8C"/>
    <w:rsid w:val="00637B9C"/>
    <w:rsid w:val="0064077C"/>
    <w:rsid w:val="00640E27"/>
    <w:rsid w:val="0064549D"/>
    <w:rsid w:val="00654ECA"/>
    <w:rsid w:val="006578F3"/>
    <w:rsid w:val="00661578"/>
    <w:rsid w:val="006643D9"/>
    <w:rsid w:val="00666A89"/>
    <w:rsid w:val="0067504A"/>
    <w:rsid w:val="00681B2B"/>
    <w:rsid w:val="0068257D"/>
    <w:rsid w:val="006877B9"/>
    <w:rsid w:val="0069519A"/>
    <w:rsid w:val="006A4355"/>
    <w:rsid w:val="006B4A7A"/>
    <w:rsid w:val="006B7A14"/>
    <w:rsid w:val="006C5007"/>
    <w:rsid w:val="006C5379"/>
    <w:rsid w:val="006C71DF"/>
    <w:rsid w:val="006D524C"/>
    <w:rsid w:val="006E310F"/>
    <w:rsid w:val="006E3F6A"/>
    <w:rsid w:val="006F2452"/>
    <w:rsid w:val="006F469E"/>
    <w:rsid w:val="006F5E9E"/>
    <w:rsid w:val="006F7871"/>
    <w:rsid w:val="00712C4F"/>
    <w:rsid w:val="0071514C"/>
    <w:rsid w:val="00721351"/>
    <w:rsid w:val="007230AC"/>
    <w:rsid w:val="00730319"/>
    <w:rsid w:val="00730B65"/>
    <w:rsid w:val="00735F16"/>
    <w:rsid w:val="00737848"/>
    <w:rsid w:val="0074020C"/>
    <w:rsid w:val="007609B1"/>
    <w:rsid w:val="00760F20"/>
    <w:rsid w:val="00761F8D"/>
    <w:rsid w:val="007626D9"/>
    <w:rsid w:val="00771325"/>
    <w:rsid w:val="00771A1C"/>
    <w:rsid w:val="007741A5"/>
    <w:rsid w:val="00776B82"/>
    <w:rsid w:val="00785155"/>
    <w:rsid w:val="00793961"/>
    <w:rsid w:val="007B22EB"/>
    <w:rsid w:val="007B5AB8"/>
    <w:rsid w:val="007B64FD"/>
    <w:rsid w:val="007B6DBE"/>
    <w:rsid w:val="007E52EB"/>
    <w:rsid w:val="007F105A"/>
    <w:rsid w:val="007F519F"/>
    <w:rsid w:val="008032F8"/>
    <w:rsid w:val="00814F7C"/>
    <w:rsid w:val="00815169"/>
    <w:rsid w:val="00817C7F"/>
    <w:rsid w:val="008247B1"/>
    <w:rsid w:val="008278D7"/>
    <w:rsid w:val="00827964"/>
    <w:rsid w:val="0083033F"/>
    <w:rsid w:val="00833C23"/>
    <w:rsid w:val="008365A0"/>
    <w:rsid w:val="0084410D"/>
    <w:rsid w:val="008564A0"/>
    <w:rsid w:val="00857765"/>
    <w:rsid w:val="0086492A"/>
    <w:rsid w:val="008664AE"/>
    <w:rsid w:val="008665BF"/>
    <w:rsid w:val="00876D72"/>
    <w:rsid w:val="00880C91"/>
    <w:rsid w:val="0088634C"/>
    <w:rsid w:val="0088748F"/>
    <w:rsid w:val="008909E6"/>
    <w:rsid w:val="00892D6B"/>
    <w:rsid w:val="00895DE0"/>
    <w:rsid w:val="008A289A"/>
    <w:rsid w:val="008B4092"/>
    <w:rsid w:val="008B49D4"/>
    <w:rsid w:val="008B6AC2"/>
    <w:rsid w:val="008D3066"/>
    <w:rsid w:val="008D5B59"/>
    <w:rsid w:val="008E4A3A"/>
    <w:rsid w:val="008E6703"/>
    <w:rsid w:val="00900335"/>
    <w:rsid w:val="00902F29"/>
    <w:rsid w:val="00903F10"/>
    <w:rsid w:val="009346F2"/>
    <w:rsid w:val="00955E29"/>
    <w:rsid w:val="009563CF"/>
    <w:rsid w:val="00974837"/>
    <w:rsid w:val="00987C27"/>
    <w:rsid w:val="00991E66"/>
    <w:rsid w:val="009A3977"/>
    <w:rsid w:val="009A5FD0"/>
    <w:rsid w:val="009A7D81"/>
    <w:rsid w:val="009B0A2F"/>
    <w:rsid w:val="009C1B70"/>
    <w:rsid w:val="009D6FE9"/>
    <w:rsid w:val="009E28D9"/>
    <w:rsid w:val="009E3537"/>
    <w:rsid w:val="009E3AA5"/>
    <w:rsid w:val="009E641B"/>
    <w:rsid w:val="009F4352"/>
    <w:rsid w:val="00A00BF4"/>
    <w:rsid w:val="00A015F0"/>
    <w:rsid w:val="00A04941"/>
    <w:rsid w:val="00A10B5E"/>
    <w:rsid w:val="00A17412"/>
    <w:rsid w:val="00A202C1"/>
    <w:rsid w:val="00A2091D"/>
    <w:rsid w:val="00A23BCB"/>
    <w:rsid w:val="00A24A01"/>
    <w:rsid w:val="00A25EB5"/>
    <w:rsid w:val="00A2776B"/>
    <w:rsid w:val="00A32176"/>
    <w:rsid w:val="00A403C7"/>
    <w:rsid w:val="00A559A7"/>
    <w:rsid w:val="00A63D32"/>
    <w:rsid w:val="00A737C0"/>
    <w:rsid w:val="00A76ACA"/>
    <w:rsid w:val="00A8116D"/>
    <w:rsid w:val="00A831CA"/>
    <w:rsid w:val="00A8704A"/>
    <w:rsid w:val="00A94B02"/>
    <w:rsid w:val="00AA5CCB"/>
    <w:rsid w:val="00AA5EF2"/>
    <w:rsid w:val="00AA6378"/>
    <w:rsid w:val="00AB0AE6"/>
    <w:rsid w:val="00AB3B69"/>
    <w:rsid w:val="00AC4BE1"/>
    <w:rsid w:val="00AF4097"/>
    <w:rsid w:val="00AF5259"/>
    <w:rsid w:val="00AF70EF"/>
    <w:rsid w:val="00B05E03"/>
    <w:rsid w:val="00B10E0E"/>
    <w:rsid w:val="00B15880"/>
    <w:rsid w:val="00B23689"/>
    <w:rsid w:val="00B24A12"/>
    <w:rsid w:val="00B3070F"/>
    <w:rsid w:val="00B31656"/>
    <w:rsid w:val="00B31AE6"/>
    <w:rsid w:val="00B33181"/>
    <w:rsid w:val="00B34BAC"/>
    <w:rsid w:val="00B404E2"/>
    <w:rsid w:val="00B42268"/>
    <w:rsid w:val="00B44F1C"/>
    <w:rsid w:val="00B50766"/>
    <w:rsid w:val="00B52A27"/>
    <w:rsid w:val="00B55E1B"/>
    <w:rsid w:val="00B604E5"/>
    <w:rsid w:val="00B70DA1"/>
    <w:rsid w:val="00B741B6"/>
    <w:rsid w:val="00B81E59"/>
    <w:rsid w:val="00B8393B"/>
    <w:rsid w:val="00B86B13"/>
    <w:rsid w:val="00B96DB7"/>
    <w:rsid w:val="00B970EC"/>
    <w:rsid w:val="00BA4CAA"/>
    <w:rsid w:val="00BA59DF"/>
    <w:rsid w:val="00BB20CD"/>
    <w:rsid w:val="00BB2515"/>
    <w:rsid w:val="00BB3B6C"/>
    <w:rsid w:val="00BB4662"/>
    <w:rsid w:val="00BC25EF"/>
    <w:rsid w:val="00BD149D"/>
    <w:rsid w:val="00BD493A"/>
    <w:rsid w:val="00BE383C"/>
    <w:rsid w:val="00BE7745"/>
    <w:rsid w:val="00C010DB"/>
    <w:rsid w:val="00C04473"/>
    <w:rsid w:val="00C046FC"/>
    <w:rsid w:val="00C04B9A"/>
    <w:rsid w:val="00C229A2"/>
    <w:rsid w:val="00C2380B"/>
    <w:rsid w:val="00C27604"/>
    <w:rsid w:val="00C32B63"/>
    <w:rsid w:val="00C339C4"/>
    <w:rsid w:val="00C41145"/>
    <w:rsid w:val="00C412D1"/>
    <w:rsid w:val="00C4203A"/>
    <w:rsid w:val="00C425BF"/>
    <w:rsid w:val="00C44129"/>
    <w:rsid w:val="00C55223"/>
    <w:rsid w:val="00C62F86"/>
    <w:rsid w:val="00C64398"/>
    <w:rsid w:val="00C71645"/>
    <w:rsid w:val="00C72BAF"/>
    <w:rsid w:val="00C82DA9"/>
    <w:rsid w:val="00C866E7"/>
    <w:rsid w:val="00C87A23"/>
    <w:rsid w:val="00C953F2"/>
    <w:rsid w:val="00C96441"/>
    <w:rsid w:val="00C9792C"/>
    <w:rsid w:val="00CA0E37"/>
    <w:rsid w:val="00CA38A2"/>
    <w:rsid w:val="00CC56EF"/>
    <w:rsid w:val="00CC7294"/>
    <w:rsid w:val="00CD2B07"/>
    <w:rsid w:val="00CD6EA1"/>
    <w:rsid w:val="00CE7EA2"/>
    <w:rsid w:val="00CF1A71"/>
    <w:rsid w:val="00CF2E37"/>
    <w:rsid w:val="00CF2EF6"/>
    <w:rsid w:val="00CF7A1C"/>
    <w:rsid w:val="00D00D28"/>
    <w:rsid w:val="00D05B73"/>
    <w:rsid w:val="00D22F4C"/>
    <w:rsid w:val="00D249B5"/>
    <w:rsid w:val="00D26826"/>
    <w:rsid w:val="00D26DD1"/>
    <w:rsid w:val="00D27318"/>
    <w:rsid w:val="00D279BF"/>
    <w:rsid w:val="00D3236E"/>
    <w:rsid w:val="00D328CE"/>
    <w:rsid w:val="00D3481E"/>
    <w:rsid w:val="00D37838"/>
    <w:rsid w:val="00D40645"/>
    <w:rsid w:val="00D50AFC"/>
    <w:rsid w:val="00D542B9"/>
    <w:rsid w:val="00D60A16"/>
    <w:rsid w:val="00D625D4"/>
    <w:rsid w:val="00D63439"/>
    <w:rsid w:val="00D63D2F"/>
    <w:rsid w:val="00D654E0"/>
    <w:rsid w:val="00D661C7"/>
    <w:rsid w:val="00D707E5"/>
    <w:rsid w:val="00D71672"/>
    <w:rsid w:val="00D814CE"/>
    <w:rsid w:val="00D83074"/>
    <w:rsid w:val="00D93D8B"/>
    <w:rsid w:val="00D93E2B"/>
    <w:rsid w:val="00DA6830"/>
    <w:rsid w:val="00DB4FB9"/>
    <w:rsid w:val="00DC541C"/>
    <w:rsid w:val="00DD48A9"/>
    <w:rsid w:val="00DE6F94"/>
    <w:rsid w:val="00DF1153"/>
    <w:rsid w:val="00DF7D01"/>
    <w:rsid w:val="00E04B12"/>
    <w:rsid w:val="00E1181D"/>
    <w:rsid w:val="00E14A92"/>
    <w:rsid w:val="00E27481"/>
    <w:rsid w:val="00E308CE"/>
    <w:rsid w:val="00E34CB9"/>
    <w:rsid w:val="00E42EC7"/>
    <w:rsid w:val="00E4383F"/>
    <w:rsid w:val="00E5061E"/>
    <w:rsid w:val="00E731B3"/>
    <w:rsid w:val="00E75E6A"/>
    <w:rsid w:val="00E821EC"/>
    <w:rsid w:val="00E82275"/>
    <w:rsid w:val="00E84900"/>
    <w:rsid w:val="00E90AEF"/>
    <w:rsid w:val="00E91929"/>
    <w:rsid w:val="00E91C1D"/>
    <w:rsid w:val="00E92DCB"/>
    <w:rsid w:val="00EA24C5"/>
    <w:rsid w:val="00EA3933"/>
    <w:rsid w:val="00EB0EBF"/>
    <w:rsid w:val="00EB4FB0"/>
    <w:rsid w:val="00EB53ED"/>
    <w:rsid w:val="00EB6499"/>
    <w:rsid w:val="00EB716B"/>
    <w:rsid w:val="00EB722B"/>
    <w:rsid w:val="00EC0C43"/>
    <w:rsid w:val="00EC780B"/>
    <w:rsid w:val="00ED174D"/>
    <w:rsid w:val="00ED4AD5"/>
    <w:rsid w:val="00ED5DA8"/>
    <w:rsid w:val="00ED6E81"/>
    <w:rsid w:val="00EE022E"/>
    <w:rsid w:val="00EE1896"/>
    <w:rsid w:val="00EE581F"/>
    <w:rsid w:val="00EF00DA"/>
    <w:rsid w:val="00EF4621"/>
    <w:rsid w:val="00EF7D8B"/>
    <w:rsid w:val="00F224D3"/>
    <w:rsid w:val="00F40CE9"/>
    <w:rsid w:val="00F42C52"/>
    <w:rsid w:val="00F52ADA"/>
    <w:rsid w:val="00F613FA"/>
    <w:rsid w:val="00F64A5E"/>
    <w:rsid w:val="00F80CC4"/>
    <w:rsid w:val="00F84DAD"/>
    <w:rsid w:val="00F85626"/>
    <w:rsid w:val="00FB3AEB"/>
    <w:rsid w:val="00FB5C99"/>
    <w:rsid w:val="00FC1BA4"/>
    <w:rsid w:val="00FC70A6"/>
    <w:rsid w:val="00FD6761"/>
    <w:rsid w:val="00FE2A6B"/>
    <w:rsid w:val="00FF27D3"/>
    <w:rsid w:val="01D94A0C"/>
    <w:rsid w:val="02A073BC"/>
    <w:rsid w:val="02E9307F"/>
    <w:rsid w:val="054C7DEB"/>
    <w:rsid w:val="05AF1B60"/>
    <w:rsid w:val="05C225B5"/>
    <w:rsid w:val="08CB596A"/>
    <w:rsid w:val="0AD32091"/>
    <w:rsid w:val="0BA07177"/>
    <w:rsid w:val="106A3C74"/>
    <w:rsid w:val="126A1858"/>
    <w:rsid w:val="12E85257"/>
    <w:rsid w:val="136B5021"/>
    <w:rsid w:val="137F578F"/>
    <w:rsid w:val="13E23345"/>
    <w:rsid w:val="13FA4410"/>
    <w:rsid w:val="14A90919"/>
    <w:rsid w:val="17D962EE"/>
    <w:rsid w:val="181F7418"/>
    <w:rsid w:val="18CB084B"/>
    <w:rsid w:val="1993042D"/>
    <w:rsid w:val="19EF056A"/>
    <w:rsid w:val="19EF2318"/>
    <w:rsid w:val="19F12C00"/>
    <w:rsid w:val="1A5451A5"/>
    <w:rsid w:val="1B4318B7"/>
    <w:rsid w:val="1B9F26B9"/>
    <w:rsid w:val="1BB4423A"/>
    <w:rsid w:val="1DE50360"/>
    <w:rsid w:val="208A783B"/>
    <w:rsid w:val="213A031C"/>
    <w:rsid w:val="21A701B7"/>
    <w:rsid w:val="234E3496"/>
    <w:rsid w:val="238916A4"/>
    <w:rsid w:val="23A03C41"/>
    <w:rsid w:val="24EA3E14"/>
    <w:rsid w:val="26F02C86"/>
    <w:rsid w:val="272356CA"/>
    <w:rsid w:val="27CE7A10"/>
    <w:rsid w:val="281731DB"/>
    <w:rsid w:val="286B210C"/>
    <w:rsid w:val="28E43974"/>
    <w:rsid w:val="29E11C7D"/>
    <w:rsid w:val="2AE45217"/>
    <w:rsid w:val="2B9B7C39"/>
    <w:rsid w:val="2CA84CAA"/>
    <w:rsid w:val="2DC8748F"/>
    <w:rsid w:val="2F8F217B"/>
    <w:rsid w:val="3041265D"/>
    <w:rsid w:val="307F4548"/>
    <w:rsid w:val="310962B6"/>
    <w:rsid w:val="319D6E9C"/>
    <w:rsid w:val="321542A7"/>
    <w:rsid w:val="33460769"/>
    <w:rsid w:val="348E6FB7"/>
    <w:rsid w:val="34FE3CD8"/>
    <w:rsid w:val="3674246C"/>
    <w:rsid w:val="3701395E"/>
    <w:rsid w:val="374B2E2B"/>
    <w:rsid w:val="38244D04"/>
    <w:rsid w:val="38554BAC"/>
    <w:rsid w:val="38920276"/>
    <w:rsid w:val="39A036EF"/>
    <w:rsid w:val="3A465E06"/>
    <w:rsid w:val="3A756075"/>
    <w:rsid w:val="3AFF64F9"/>
    <w:rsid w:val="3B6C1BFC"/>
    <w:rsid w:val="3BA30D13"/>
    <w:rsid w:val="3BBD1E1E"/>
    <w:rsid w:val="3C024B19"/>
    <w:rsid w:val="3C7D2235"/>
    <w:rsid w:val="3F6F1FDE"/>
    <w:rsid w:val="40896772"/>
    <w:rsid w:val="41895D03"/>
    <w:rsid w:val="41E97960"/>
    <w:rsid w:val="42564F8A"/>
    <w:rsid w:val="432D4123"/>
    <w:rsid w:val="44B431FB"/>
    <w:rsid w:val="44E01B99"/>
    <w:rsid w:val="4612161E"/>
    <w:rsid w:val="46B12F19"/>
    <w:rsid w:val="46D13E3C"/>
    <w:rsid w:val="48C447EC"/>
    <w:rsid w:val="4A742241"/>
    <w:rsid w:val="4DC07B35"/>
    <w:rsid w:val="4F164A55"/>
    <w:rsid w:val="4F8C0883"/>
    <w:rsid w:val="50F556CC"/>
    <w:rsid w:val="5416591D"/>
    <w:rsid w:val="54240834"/>
    <w:rsid w:val="556B68E0"/>
    <w:rsid w:val="55823A64"/>
    <w:rsid w:val="55FD4C24"/>
    <w:rsid w:val="56236D75"/>
    <w:rsid w:val="56C97FE2"/>
    <w:rsid w:val="56CA31BB"/>
    <w:rsid w:val="58823E3D"/>
    <w:rsid w:val="5AC461A2"/>
    <w:rsid w:val="5E914D18"/>
    <w:rsid w:val="5F011E9E"/>
    <w:rsid w:val="5F0E45BB"/>
    <w:rsid w:val="5F8506A4"/>
    <w:rsid w:val="5FA02694"/>
    <w:rsid w:val="60443049"/>
    <w:rsid w:val="610E08A2"/>
    <w:rsid w:val="61610FEB"/>
    <w:rsid w:val="62AE304C"/>
    <w:rsid w:val="65D50729"/>
    <w:rsid w:val="670F6CB1"/>
    <w:rsid w:val="68091DC3"/>
    <w:rsid w:val="68195B7C"/>
    <w:rsid w:val="698B6E18"/>
    <w:rsid w:val="6B303356"/>
    <w:rsid w:val="6C692C46"/>
    <w:rsid w:val="6CE32BE3"/>
    <w:rsid w:val="6F9901FE"/>
    <w:rsid w:val="6FEA072C"/>
    <w:rsid w:val="70074E3A"/>
    <w:rsid w:val="70301F1E"/>
    <w:rsid w:val="74832BB6"/>
    <w:rsid w:val="749A63B4"/>
    <w:rsid w:val="74AC140B"/>
    <w:rsid w:val="74E23798"/>
    <w:rsid w:val="75A650F5"/>
    <w:rsid w:val="76525DAB"/>
    <w:rsid w:val="795A3CDE"/>
    <w:rsid w:val="7991596C"/>
    <w:rsid w:val="7A593ECA"/>
    <w:rsid w:val="7A85352B"/>
    <w:rsid w:val="7B254927"/>
    <w:rsid w:val="7BB15EA8"/>
    <w:rsid w:val="7C3353E9"/>
    <w:rsid w:val="7D4A035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8">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3">
    <w:name w:val="Body Text Indent"/>
    <w:basedOn w:val="1"/>
    <w:next w:val="1"/>
    <w:qFormat/>
    <w:uiPriority w:val="0"/>
    <w:pPr>
      <w:widowControl/>
      <w:spacing w:before="100" w:beforeAutospacing="1" w:after="100" w:afterAutospacing="1"/>
      <w:jc w:val="left"/>
    </w:pPr>
    <w:rPr>
      <w:rFonts w:ascii="宋体" w:hAnsi="宋体" w:eastAsia="宋体"/>
      <w:kern w:val="0"/>
      <w:sz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2"/>
    <w:basedOn w:val="3"/>
    <w:unhideWhenUsed/>
    <w:qFormat/>
    <w:uiPriority w:val="99"/>
    <w:pPr>
      <w:ind w:firstLine="420"/>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itle"/>
    <w:basedOn w:val="1"/>
    <w:next w:val="1"/>
    <w:qFormat/>
    <w:uiPriority w:val="0"/>
    <w:pPr>
      <w:adjustRightInd w:val="0"/>
      <w:snapToGrid w:val="0"/>
      <w:spacing w:line="360" w:lineRule="auto"/>
      <w:ind w:firstLine="800" w:firstLineChars="200"/>
      <w:jc w:val="left"/>
      <w:outlineLvl w:val="0"/>
    </w:pPr>
    <w:rPr>
      <w:rFonts w:ascii="Arial" w:hAnsi="Arial" w:eastAsia="仿宋"/>
      <w:sz w:val="32"/>
      <w:szCs w:val="32"/>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3">
    <w:name w:val="_Style 3"/>
    <w:basedOn w:val="1"/>
    <w:next w:val="14"/>
    <w:unhideWhenUsed/>
    <w:qFormat/>
    <w:uiPriority w:val="99"/>
    <w:pPr>
      <w:spacing w:line="360" w:lineRule="auto"/>
      <w:ind w:firstLine="420" w:firstLineChars="200"/>
      <w:jc w:val="left"/>
    </w:pPr>
    <w:rPr>
      <w:rFonts w:ascii="Times New Roman" w:hAnsi="Times New Roman" w:eastAsia="仿宋"/>
      <w:sz w:val="32"/>
      <w:lang w:eastAsia="zh-TW"/>
    </w:rPr>
  </w:style>
  <w:style w:type="paragraph" w:customStyle="1" w:styleId="14">
    <w:name w:val="List Paragraph"/>
    <w:basedOn w:val="1"/>
    <w:qFormat/>
    <w:uiPriority w:val="34"/>
    <w:pPr>
      <w:ind w:firstLine="420" w:firstLineChars="200"/>
    </w:pPr>
  </w:style>
  <w:style w:type="paragraph" w:customStyle="1" w:styleId="15">
    <w:name w:val="Chy报告正文"/>
    <w:basedOn w:val="1"/>
    <w:next w:val="1"/>
    <w:qFormat/>
    <w:uiPriority w:val="0"/>
    <w:pPr>
      <w:spacing w:line="560" w:lineRule="exact"/>
      <w:ind w:firstLine="200" w:firstLineChars="200"/>
    </w:pPr>
    <w:rPr>
      <w:rFonts w:ascii="宋体" w:hAnsi="宋体" w:eastAsia="仿宋_GB2312"/>
      <w:sz w:val="32"/>
      <w:szCs w:val="28"/>
    </w:r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31</Pages>
  <Words>2783</Words>
  <Characters>15869</Characters>
  <Lines>132</Lines>
  <Paragraphs>37</Paragraphs>
  <ScaleCrop>false</ScaleCrop>
  <LinksUpToDate>false</LinksUpToDate>
  <CharactersWithSpaces>18615</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2023-09-14T09:07:00Z</dcterms:created>
  <dc:creator>lenovo</dc:creator>
  <cp:lastModifiedBy>Administrator</cp:lastModifiedBy>
  <cp:lastPrinted>2024-06-12T00:51:00Z</cp:lastPrinted>
  <dcterms:modified xsi:type="dcterms:W3CDTF">2025-09-15T06:03:53Z</dcterms:modified>
  <cp:revision>710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y fmtid="{D5CDD505-2E9C-101B-9397-08002B2CF9AE}" pid="3" name="ICV">
    <vt:lpwstr>DFC741ED01F84B5BAAC804E705909F5C_12</vt:lpwstr>
  </property>
  <property fmtid="{D5CDD505-2E9C-101B-9397-08002B2CF9AE}" pid="4" name="KSOTemplateDocerSaveRecord">
    <vt:lpwstr>eyJoZGlkIjoiYjJjOTQxYzhjODMyMDAzZmE0MDJkMWFkNmJlNDkwYTUiLCJ1c2VySWQiOiI2Mjc3MTQ2NTgifQ==</vt:lpwstr>
  </property>
</Properties>
</file>