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spacing w:line="600" w:lineRule="exact"/>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2024年度</w:t>
      </w:r>
      <w:r>
        <w:rPr>
          <w:rFonts w:hint="eastAsia" w:ascii="方正小标宋简体" w:hAnsi="方正小标宋简体" w:eastAsia="方正小标宋简体" w:cs="方正小标宋简体"/>
          <w:sz w:val="44"/>
          <w:szCs w:val="44"/>
          <w:highlight w:val="none"/>
        </w:rPr>
        <w:t>教师素质提升项目绩效评价报告</w:t>
      </w:r>
    </w:p>
    <w:p>
      <w:pPr>
        <w:spacing w:line="600" w:lineRule="exact"/>
        <w:rPr>
          <w:rFonts w:ascii="楷体_GB2312" w:hAnsi="楷体_GB2312" w:eastAsia="楷体_GB2312" w:cs="楷体_GB2312"/>
          <w:sz w:val="32"/>
          <w:szCs w:val="40"/>
          <w:highlight w:val="none"/>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黑体" w:hAnsi="黑体" w:eastAsia="黑体" w:cs="黑体"/>
          <w:sz w:val="32"/>
          <w:szCs w:val="40"/>
          <w:highlight w:val="none"/>
        </w:rPr>
      </w:pPr>
      <w:r>
        <w:rPr>
          <w:rFonts w:hint="eastAsia" w:ascii="黑体" w:hAnsi="黑体" w:eastAsia="黑体" w:cs="黑体"/>
          <w:sz w:val="32"/>
          <w:szCs w:val="40"/>
          <w:highlight w:val="none"/>
        </w:rPr>
        <w:t>一、项目基本情况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（一）项目概况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1.项目背景</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为了全面深化新时代教师队伍建设改革，加强高水平教师教育体系建设，培养造就高素质专业化创新型中小学教师队伍，教育部等八部门印发《关于新时代基础教育强师计划的通知》（教师〔2022〕6号），要求以提升教师思想政治素质、师德师风水平和教育教学能力为重点，全面提高教师培养培训质量，整体提升中小学教师队伍教书育人能力素质，促进教师数量、素质、结构协调发展，为构建高质量教育体系奠定坚实的师资基础。</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2.项目主要内容</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青岛</w:t>
      </w:r>
      <w:r>
        <w:rPr>
          <w:rFonts w:hint="eastAsia" w:ascii="仿宋_GB2312" w:hAnsi="仿宋_GB2312" w:eastAsia="仿宋_GB2312" w:cs="仿宋_GB2312"/>
          <w:sz w:val="32"/>
          <w:szCs w:val="40"/>
          <w:highlight w:val="none"/>
        </w:rPr>
        <w:t>市教育局会同市人社局、市财政局印发《关于全面推进中小学教师队伍梯队发展的意见》（青教通字〔2022〕78号），</w:t>
      </w:r>
      <w:r>
        <w:rPr>
          <w:rFonts w:hint="eastAsia" w:ascii="仿宋_GB2312" w:hAnsi="仿宋_GB2312" w:eastAsia="仿宋_GB2312" w:cs="仿宋_GB2312"/>
          <w:sz w:val="32"/>
          <w:szCs w:val="40"/>
          <w:highlight w:val="none"/>
          <w:lang w:val="en-US" w:eastAsia="zh-CN"/>
        </w:rPr>
        <w:t>要求</w:t>
      </w:r>
      <w:r>
        <w:rPr>
          <w:rFonts w:hint="eastAsia" w:ascii="仿宋_GB2312" w:hAnsi="仿宋_GB2312" w:eastAsia="仿宋_GB2312" w:cs="仿宋_GB2312"/>
          <w:sz w:val="32"/>
          <w:szCs w:val="40"/>
          <w:highlight w:val="none"/>
        </w:rPr>
        <w:t>全面实施新教师、青年教师、骨干教师、名师名校长、教育名家梯次培养工程，建立促进教师持续发展的七个工作机制和五个保障措施，健全教师队伍梯队发展体系，提高服务教师发展能力，建设教师发展良好生态。</w:t>
      </w:r>
    </w:p>
    <w:p>
      <w:pPr>
        <w:pStyle w:val="16"/>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_GB2312" w:cs="仿宋_GB2312"/>
          <w:b w:val="0"/>
          <w:bCs w:val="0"/>
          <w:color w:val="000000"/>
          <w:spacing w:val="0"/>
          <w:sz w:val="32"/>
          <w:szCs w:val="32"/>
          <w:lang w:val="en-US" w:eastAsia="zh-CN"/>
        </w:rPr>
      </w:pPr>
    </w:p>
    <w:p>
      <w:pPr>
        <w:pStyle w:val="16"/>
        <w:keepNext w:val="0"/>
        <w:keepLines w:val="0"/>
        <w:pageBreakBefore w:val="0"/>
        <w:widowControl w:val="0"/>
        <w:kinsoku/>
        <w:wordWrap/>
        <w:overflowPunct/>
        <w:topLinePunct w:val="0"/>
        <w:autoSpaceDE/>
        <w:autoSpaceDN/>
        <w:bidi w:val="0"/>
        <w:adjustRightInd w:val="0"/>
        <w:snapToGrid w:val="0"/>
        <w:spacing w:line="600" w:lineRule="exact"/>
        <w:ind w:firstLine="640"/>
        <w:textAlignment w:val="auto"/>
        <w:rPr>
          <w:rFonts w:hint="eastAsia" w:ascii="仿宋_GB2312" w:hAnsi="仿宋" w:eastAsia="仿宋_GB2312" w:cs="仿宋"/>
          <w:b/>
          <w:bCs/>
          <w:szCs w:val="21"/>
          <w:highlight w:val="none"/>
          <w:lang w:val="en-US" w:eastAsia="zh-CN"/>
        </w:rPr>
      </w:pPr>
      <w:r>
        <w:rPr>
          <w:rFonts w:hint="eastAsia" w:ascii="仿宋_GB2312" w:hAnsi="仿宋_GB2312" w:cs="仿宋_GB2312"/>
          <w:b w:val="0"/>
          <w:bCs w:val="0"/>
          <w:color w:val="000000"/>
          <w:spacing w:val="0"/>
          <w:sz w:val="32"/>
          <w:szCs w:val="32"/>
          <w:lang w:val="en-US" w:eastAsia="zh-CN"/>
        </w:rPr>
        <w:t>2024年度教师素质提升项目分为5大类别，包含31个子项目，具体内容如下表1所示：</w:t>
      </w:r>
    </w:p>
    <w:p>
      <w:pPr>
        <w:spacing w:line="320" w:lineRule="exact"/>
        <w:jc w:val="center"/>
        <w:rPr>
          <w:rFonts w:hint="default"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 xml:space="preserve">表1 </w:t>
      </w:r>
      <w:r>
        <w:rPr>
          <w:rFonts w:hint="default" w:ascii="仿宋_GB2312" w:hAnsi="仿宋" w:eastAsia="仿宋_GB2312" w:cs="仿宋"/>
          <w:b/>
          <w:bCs/>
          <w:szCs w:val="21"/>
          <w:highlight w:val="none"/>
          <w:lang w:val="en-US" w:eastAsia="zh-CN"/>
        </w:rPr>
        <w:t>项目主要内容</w:t>
      </w:r>
      <w:r>
        <w:rPr>
          <w:rFonts w:hint="eastAsia" w:ascii="仿宋_GB2312" w:hAnsi="仿宋" w:eastAsia="仿宋_GB2312" w:cs="仿宋"/>
          <w:b/>
          <w:bCs/>
          <w:szCs w:val="21"/>
          <w:highlight w:val="none"/>
          <w:lang w:val="en-US" w:eastAsia="zh-CN"/>
        </w:rPr>
        <w:t>表</w:t>
      </w:r>
    </w:p>
    <w:tbl>
      <w:tblPr>
        <w:tblStyle w:val="12"/>
        <w:tblW w:w="89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149"/>
        <w:gridCol w:w="7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blHeader/>
          <w:jc w:val="center"/>
        </w:trPr>
        <w:tc>
          <w:tcPr>
            <w:tcW w:w="692" w:type="dxa"/>
            <w:vAlign w:val="center"/>
          </w:tcPr>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序号</w:t>
            </w:r>
          </w:p>
        </w:tc>
        <w:tc>
          <w:tcPr>
            <w:tcW w:w="1149" w:type="dxa"/>
            <w:vAlign w:val="center"/>
          </w:tcPr>
          <w:p>
            <w:pPr>
              <w:spacing w:line="320" w:lineRule="exact"/>
              <w:jc w:val="center"/>
              <w:rPr>
                <w:rFonts w:hint="default"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项目类别</w:t>
            </w:r>
          </w:p>
        </w:tc>
        <w:tc>
          <w:tcPr>
            <w:tcW w:w="7086" w:type="dxa"/>
            <w:vAlign w:val="center"/>
          </w:tcPr>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项目内容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692" w:type="dxa"/>
            <w:vAlign w:val="center"/>
          </w:tcPr>
          <w:p>
            <w:pPr>
              <w:spacing w:line="320" w:lineRule="exact"/>
              <w:jc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1</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市级教师发展梯队建设</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（内设8个子项目）</w:t>
            </w:r>
          </w:p>
        </w:tc>
        <w:tc>
          <w:tcPr>
            <w:tcW w:w="708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kern w:val="2"/>
                <w:sz w:val="21"/>
                <w:szCs w:val="21"/>
                <w:lang w:val="en-US" w:eastAsia="zh-CN" w:bidi="ar-SA"/>
              </w:rPr>
              <w:t>1.局属</w:t>
            </w:r>
            <w:r>
              <w:rPr>
                <w:rFonts w:hint="eastAsia" w:ascii="仿宋_GB2312" w:hAnsi="仿宋" w:eastAsia="仿宋_GB2312" w:cs="仿宋"/>
                <w:szCs w:val="21"/>
                <w:highlight w:val="none"/>
                <w:lang w:val="en-US" w:eastAsia="zh-CN"/>
              </w:rPr>
              <w:t>单位新教师五年跟踪培训项目：第1年岗前培训，第2年能力过关培训，第3-5年理念提升培训、成果展示培训。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2.</w:t>
            </w:r>
            <w:r>
              <w:rPr>
                <w:rFonts w:hint="default" w:ascii="仿宋_GB2312" w:hAnsi="仿宋" w:eastAsia="仿宋_GB2312" w:cs="仿宋"/>
                <w:szCs w:val="21"/>
                <w:highlight w:val="none"/>
                <w:lang w:val="en-US" w:eastAsia="zh-CN"/>
              </w:rPr>
              <w:t>青年教师“菁英计划”</w:t>
            </w:r>
            <w:r>
              <w:rPr>
                <w:rFonts w:hint="eastAsia" w:ascii="仿宋_GB2312" w:hAnsi="仿宋" w:eastAsia="仿宋_GB2312" w:cs="仿宋"/>
                <w:szCs w:val="21"/>
                <w:highlight w:val="none"/>
                <w:lang w:val="en-US" w:eastAsia="zh-CN"/>
              </w:rPr>
              <w:t>：从青年教师遴选优秀青年教师600人进行重点培养，按照学科学段分小组，每个小组配备专家，由省市教师培训基地（青岛大学）按照培养方案进行培养。</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3.</w:t>
            </w:r>
            <w:r>
              <w:rPr>
                <w:rFonts w:hint="default" w:ascii="仿宋_GB2312" w:hAnsi="仿宋" w:eastAsia="仿宋_GB2312" w:cs="仿宋"/>
                <w:szCs w:val="21"/>
                <w:highlight w:val="none"/>
                <w:lang w:val="en-US" w:eastAsia="zh-CN"/>
              </w:rPr>
              <w:t>普通高中骨干教师赴名校跟岗实践培训</w:t>
            </w:r>
            <w:r>
              <w:rPr>
                <w:rFonts w:hint="eastAsia" w:ascii="仿宋_GB2312" w:hAnsi="仿宋" w:eastAsia="仿宋_GB2312" w:cs="仿宋"/>
                <w:szCs w:val="21"/>
                <w:highlight w:val="none"/>
                <w:lang w:val="en-US" w:eastAsia="zh-CN"/>
              </w:rPr>
              <w:t>：组织局属和部分区市所属普通高中学校级骨干教师到市内外优质高中跟岗实践。通过不同主题的研讨交流提高教学质量。</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4.</w:t>
            </w:r>
            <w:r>
              <w:rPr>
                <w:rFonts w:hint="default" w:ascii="仿宋_GB2312" w:hAnsi="仿宋" w:eastAsia="仿宋_GB2312" w:cs="仿宋"/>
                <w:szCs w:val="21"/>
                <w:highlight w:val="none"/>
                <w:lang w:val="en-US" w:eastAsia="zh-CN"/>
              </w:rPr>
              <w:t>新一轮全市中小学骨干教师培训项目第二年培训</w:t>
            </w:r>
            <w:r>
              <w:rPr>
                <w:rFonts w:hint="eastAsia" w:ascii="仿宋_GB2312" w:hAnsi="仿宋" w:eastAsia="仿宋_GB2312" w:cs="仿宋"/>
                <w:szCs w:val="21"/>
                <w:highlight w:val="none"/>
                <w:lang w:val="en-US" w:eastAsia="zh-CN"/>
              </w:rPr>
              <w:t>：对2022年遴选的中小学市级教学能手、学科带头人、班主任带头人等骨干教师进行集中培训和导师指导分散研修。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5.</w:t>
            </w:r>
            <w:r>
              <w:rPr>
                <w:rFonts w:hint="default" w:ascii="仿宋_GB2312" w:hAnsi="仿宋" w:eastAsia="仿宋_GB2312" w:cs="仿宋"/>
                <w:szCs w:val="21"/>
                <w:highlight w:val="none"/>
                <w:lang w:val="en-US" w:eastAsia="zh-CN"/>
              </w:rPr>
              <w:t>第五期青岛名师培养工程</w:t>
            </w:r>
            <w:r>
              <w:rPr>
                <w:rFonts w:hint="eastAsia" w:ascii="仿宋_GB2312" w:hAnsi="仿宋" w:eastAsia="仿宋_GB2312" w:cs="仿宋"/>
                <w:szCs w:val="21"/>
                <w:highlight w:val="none"/>
                <w:lang w:val="en-US" w:eastAsia="zh-CN"/>
              </w:rPr>
              <w:t>（2024-2027）：</w:t>
            </w:r>
            <w:r>
              <w:rPr>
                <w:rFonts w:hint="eastAsia" w:ascii="仿宋_GB2312" w:hAnsi="仿宋" w:eastAsia="仿宋_GB2312" w:cs="仿宋"/>
                <w:kern w:val="2"/>
                <w:sz w:val="21"/>
                <w:szCs w:val="21"/>
                <w:lang w:val="en-US" w:eastAsia="zh-CN" w:bidi="ar-SA"/>
              </w:rPr>
              <w:t>青岛名师培养工程每三年一届，每届择优遴选300人，依托高校等优质培养资源进行导师制培养，达到培养目标要求的，认定为“第X届青岛名师”。</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6.</w:t>
            </w:r>
            <w:r>
              <w:rPr>
                <w:rFonts w:hint="default" w:ascii="仿宋_GB2312" w:hAnsi="仿宋" w:eastAsia="仿宋_GB2312" w:cs="仿宋"/>
                <w:szCs w:val="21"/>
                <w:highlight w:val="none"/>
                <w:lang w:val="en-US" w:eastAsia="zh-CN"/>
              </w:rPr>
              <w:t>名师工作室梯队研修计划</w:t>
            </w:r>
            <w:r>
              <w:rPr>
                <w:rFonts w:hint="eastAsia" w:ascii="仿宋_GB2312" w:hAnsi="仿宋" w:eastAsia="仿宋_GB2312" w:cs="仿宋"/>
                <w:szCs w:val="21"/>
                <w:highlight w:val="none"/>
                <w:lang w:val="en-US" w:eastAsia="zh-CN"/>
              </w:rPr>
              <w:t>：分层组织组建国家教学名师培育工作室、齐鲁名师培育工作室、青岛名师工作室。组织国家教学名师、齐鲁名师培育工作室主持人高端研修。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7.</w:t>
            </w:r>
            <w:r>
              <w:rPr>
                <w:rFonts w:hint="default" w:ascii="仿宋_GB2312" w:hAnsi="仿宋" w:eastAsia="仿宋_GB2312" w:cs="仿宋"/>
                <w:szCs w:val="21"/>
                <w:highlight w:val="none"/>
                <w:lang w:val="en-US" w:eastAsia="zh-CN"/>
              </w:rPr>
              <w:t>家庭教育名师工作室研修项目</w:t>
            </w:r>
            <w:r>
              <w:rPr>
                <w:rFonts w:hint="eastAsia" w:ascii="仿宋_GB2312" w:hAnsi="仿宋" w:eastAsia="仿宋_GB2312" w:cs="仿宋"/>
                <w:szCs w:val="21"/>
                <w:highlight w:val="none"/>
                <w:lang w:val="en-US" w:eastAsia="zh-CN"/>
              </w:rPr>
              <w:t>：组建10个家庭教育名师工作室，开展工作室研修。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8.</w:t>
            </w:r>
            <w:r>
              <w:rPr>
                <w:rFonts w:hint="default" w:ascii="仿宋_GB2312" w:hAnsi="仿宋" w:eastAsia="仿宋_GB2312" w:cs="仿宋"/>
                <w:szCs w:val="21"/>
                <w:highlight w:val="none"/>
                <w:lang w:val="en-US" w:eastAsia="zh-CN"/>
              </w:rPr>
              <w:t>名班主任工作室研修项目</w:t>
            </w:r>
            <w:r>
              <w:rPr>
                <w:rFonts w:hint="eastAsia" w:ascii="仿宋_GB2312" w:hAnsi="仿宋" w:eastAsia="仿宋_GB2312" w:cs="仿宋"/>
                <w:szCs w:val="21"/>
                <w:highlight w:val="none"/>
                <w:lang w:val="en-US" w:eastAsia="zh-CN"/>
              </w:rPr>
              <w:t>：</w:t>
            </w:r>
            <w:r>
              <w:rPr>
                <w:rFonts w:hint="default" w:ascii="仿宋_GB2312" w:hAnsi="仿宋" w:eastAsia="仿宋_GB2312" w:cs="仿宋"/>
                <w:szCs w:val="21"/>
                <w:highlight w:val="none"/>
                <w:lang w:val="en-US" w:eastAsia="zh-CN"/>
              </w:rPr>
              <w:t>组建30个名班主任工作室，开展工作室研修。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 w:hRule="atLeast"/>
          <w:tblHeader/>
          <w:jc w:val="center"/>
        </w:trPr>
        <w:tc>
          <w:tcPr>
            <w:tcW w:w="692" w:type="dxa"/>
            <w:vAlign w:val="center"/>
          </w:tcPr>
          <w:p>
            <w:pPr>
              <w:spacing w:line="320" w:lineRule="exact"/>
              <w:jc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2</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市级校长培训（内设7个子项目）</w:t>
            </w:r>
          </w:p>
        </w:tc>
        <w:tc>
          <w:tcPr>
            <w:tcW w:w="708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仿宋_GB2312" w:hAnsi="仿宋" w:eastAsia="仿宋_GB2312" w:cs="仿宋"/>
                <w:szCs w:val="21"/>
                <w:highlight w:val="none"/>
                <w:lang w:val="en-US" w:eastAsia="zh-CN"/>
              </w:rPr>
            </w:pPr>
            <w:r>
              <w:rPr>
                <w:rFonts w:hint="eastAsia" w:ascii="仿宋_GB2312" w:hAnsi="仿宋" w:eastAsia="仿宋_GB2312" w:cs="仿宋"/>
                <w:kern w:val="2"/>
                <w:sz w:val="21"/>
                <w:szCs w:val="21"/>
                <w:lang w:val="en-US" w:eastAsia="zh-CN" w:bidi="ar-SA"/>
              </w:rPr>
              <w:t>1.</w:t>
            </w:r>
            <w:r>
              <w:rPr>
                <w:rFonts w:hint="eastAsia" w:ascii="仿宋_GB2312" w:hAnsi="仿宋" w:eastAsia="仿宋_GB2312" w:cs="仿宋"/>
                <w:szCs w:val="21"/>
                <w:highlight w:val="none"/>
                <w:lang w:val="en-US" w:eastAsia="zh-CN"/>
              </w:rPr>
              <w:t>名校长工作室研修项目：组建18个名校长领航工作室，开展校长工作室研修。</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2.</w:t>
            </w:r>
            <w:r>
              <w:rPr>
                <w:rFonts w:hint="default" w:ascii="仿宋_GB2312" w:hAnsi="仿宋" w:eastAsia="仿宋_GB2312" w:cs="仿宋"/>
                <w:szCs w:val="21"/>
                <w:highlight w:val="none"/>
                <w:lang w:val="en-US" w:eastAsia="zh-CN"/>
              </w:rPr>
              <w:t>高中校长任职资格培训</w:t>
            </w:r>
            <w:r>
              <w:rPr>
                <w:rFonts w:hint="eastAsia" w:ascii="仿宋_GB2312" w:hAnsi="仿宋" w:eastAsia="仿宋_GB2312" w:cs="仿宋"/>
                <w:szCs w:val="21"/>
                <w:highlight w:val="none"/>
                <w:lang w:val="en-US" w:eastAsia="zh-CN"/>
              </w:rPr>
              <w:t>:着力提升新任高中校长的职业素养和业务能力，帮助其更好地适应当前教育改革与发展需要，推动提升高中学校教育教学管理水平。</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kern w:val="2"/>
                <w:sz w:val="21"/>
                <w:szCs w:val="21"/>
                <w:lang w:val="en-US" w:eastAsia="zh-CN" w:bidi="ar-SA"/>
              </w:rPr>
            </w:pPr>
            <w:r>
              <w:rPr>
                <w:rFonts w:hint="default" w:ascii="仿宋_GB2312" w:hAnsi="仿宋" w:eastAsia="仿宋_GB2312" w:cs="仿宋"/>
                <w:kern w:val="2"/>
                <w:sz w:val="21"/>
                <w:szCs w:val="21"/>
                <w:lang w:val="en-US" w:eastAsia="zh-CN" w:bidi="ar-SA"/>
              </w:rPr>
              <w:t>3.</w:t>
            </w:r>
            <w:r>
              <w:rPr>
                <w:rFonts w:hint="default" w:ascii="仿宋_GB2312" w:hAnsi="仿宋" w:eastAsia="仿宋_GB2312" w:cs="仿宋"/>
                <w:szCs w:val="21"/>
                <w:highlight w:val="none"/>
                <w:lang w:val="en-US" w:eastAsia="zh-CN"/>
              </w:rPr>
              <w:t>校（园）长能力提升培训</w:t>
            </w:r>
            <w:r>
              <w:rPr>
                <w:rFonts w:hint="eastAsia" w:ascii="仿宋_GB2312" w:hAnsi="仿宋" w:eastAsia="仿宋_GB2312" w:cs="仿宋"/>
                <w:szCs w:val="21"/>
                <w:highlight w:val="none"/>
                <w:lang w:val="en-US" w:eastAsia="zh-CN"/>
              </w:rPr>
              <w:t>:以提高学校领导工作胜任力为重点，开展办学治校领导责任、学校管理实务等方面的培训。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4.</w:t>
            </w:r>
            <w:r>
              <w:rPr>
                <w:rFonts w:hint="default" w:ascii="仿宋_GB2312" w:hAnsi="仿宋" w:eastAsia="仿宋_GB2312" w:cs="仿宋"/>
                <w:szCs w:val="21"/>
                <w:highlight w:val="none"/>
                <w:lang w:val="en-US" w:eastAsia="zh-CN"/>
              </w:rPr>
              <w:t>骨干校（园）长高级研修</w:t>
            </w:r>
            <w:r>
              <w:rPr>
                <w:rFonts w:hint="eastAsia" w:ascii="仿宋_GB2312" w:hAnsi="仿宋" w:eastAsia="仿宋_GB2312" w:cs="仿宋"/>
                <w:szCs w:val="21"/>
                <w:highlight w:val="none"/>
                <w:lang w:val="en-US" w:eastAsia="zh-CN"/>
              </w:rPr>
              <w:t>:全市幼儿园、初中、高中骨干校（园）长高级研修，开展教育思想观念、教学组织方式创新等方面的培训。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5.</w:t>
            </w:r>
            <w:r>
              <w:rPr>
                <w:rFonts w:hint="default" w:ascii="仿宋_GB2312" w:hAnsi="仿宋" w:eastAsia="仿宋_GB2312" w:cs="仿宋"/>
                <w:szCs w:val="21"/>
                <w:highlight w:val="none"/>
                <w:lang w:val="en-US" w:eastAsia="zh-CN"/>
              </w:rPr>
              <w:t>名校长赴知名高校开展专题研修培训</w:t>
            </w:r>
            <w:r>
              <w:rPr>
                <w:rFonts w:hint="eastAsia" w:ascii="仿宋_GB2312" w:hAnsi="仿宋" w:eastAsia="仿宋_GB2312" w:cs="仿宋"/>
                <w:szCs w:val="21"/>
                <w:highlight w:val="none"/>
                <w:lang w:val="en-US" w:eastAsia="zh-CN"/>
              </w:rPr>
              <w:t>:组织18个市名校长工作室，每个工作室成员约10名成员，180人培训5天。</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6.</w:t>
            </w:r>
            <w:r>
              <w:rPr>
                <w:rFonts w:hint="default" w:ascii="仿宋_GB2312" w:hAnsi="仿宋" w:eastAsia="仿宋_GB2312" w:cs="仿宋"/>
                <w:szCs w:val="21"/>
                <w:highlight w:val="none"/>
                <w:lang w:val="en-US" w:eastAsia="zh-CN"/>
              </w:rPr>
              <w:t>分管心理健康教育副校长专题培训</w:t>
            </w:r>
            <w:r>
              <w:rPr>
                <w:rFonts w:hint="eastAsia" w:ascii="仿宋_GB2312" w:hAnsi="仿宋" w:eastAsia="仿宋_GB2312" w:cs="仿宋"/>
                <w:szCs w:val="21"/>
                <w:highlight w:val="none"/>
                <w:lang w:val="en-US" w:eastAsia="zh-CN"/>
              </w:rPr>
              <w:t>:组织赴知名高校开展心理健康副校长及校长助理业务能力专题培训。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kern w:val="2"/>
                <w:sz w:val="21"/>
                <w:szCs w:val="21"/>
                <w:lang w:val="en-US" w:eastAsia="zh-CN" w:bidi="ar-SA"/>
              </w:rPr>
              <w:t>7.</w:t>
            </w:r>
            <w:r>
              <w:rPr>
                <w:rFonts w:hint="default" w:ascii="仿宋_GB2312" w:hAnsi="仿宋" w:eastAsia="仿宋_GB2312" w:cs="仿宋"/>
                <w:szCs w:val="21"/>
                <w:highlight w:val="none"/>
                <w:lang w:val="en-US" w:eastAsia="zh-CN"/>
              </w:rPr>
              <w:t>强镇筑基镇校园长专题培训</w:t>
            </w:r>
            <w:r>
              <w:rPr>
                <w:rFonts w:hint="eastAsia" w:ascii="仿宋_GB2312" w:hAnsi="仿宋" w:eastAsia="仿宋_GB2312" w:cs="仿宋"/>
                <w:szCs w:val="21"/>
                <w:highlight w:val="none"/>
                <w:lang w:val="en-US" w:eastAsia="zh-CN"/>
              </w:rPr>
              <w:t>:开展校长领导力建设、深化教学改革、信息化赋能教学、校园文化建设、全环境育人等方面的专题培训。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4" w:hRule="atLeast"/>
          <w:tblHeader/>
          <w:jc w:val="center"/>
        </w:trPr>
        <w:tc>
          <w:tcPr>
            <w:tcW w:w="692" w:type="dxa"/>
            <w:vAlign w:val="center"/>
          </w:tcPr>
          <w:p>
            <w:pPr>
              <w:spacing w:line="320" w:lineRule="exact"/>
              <w:jc w:val="center"/>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3</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教育数字化转型支持项目（内设3个子项目）</w:t>
            </w:r>
          </w:p>
        </w:tc>
        <w:tc>
          <w:tcPr>
            <w:tcW w:w="708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kern w:val="2"/>
                <w:sz w:val="21"/>
                <w:szCs w:val="21"/>
                <w:lang w:val="en-US" w:eastAsia="zh-CN" w:bidi="ar-SA"/>
              </w:rPr>
              <w:t>1</w:t>
            </w:r>
            <w:r>
              <w:rPr>
                <w:rFonts w:hint="default" w:ascii="仿宋_GB2312" w:hAnsi="仿宋" w:eastAsia="仿宋_GB2312" w:cs="仿宋"/>
                <w:kern w:val="2"/>
                <w:sz w:val="21"/>
                <w:szCs w:val="21"/>
                <w:lang w:val="en-US" w:eastAsia="zh-CN" w:bidi="ar-SA"/>
              </w:rPr>
              <w:t>.</w:t>
            </w:r>
            <w:r>
              <w:rPr>
                <w:rFonts w:hint="default" w:ascii="仿宋_GB2312" w:hAnsi="仿宋" w:eastAsia="仿宋_GB2312" w:cs="仿宋"/>
                <w:szCs w:val="21"/>
                <w:highlight w:val="none"/>
                <w:lang w:val="en-US" w:eastAsia="zh-CN"/>
              </w:rPr>
              <w:t>教师校长数字素养提升专题培训</w:t>
            </w:r>
            <w:r>
              <w:rPr>
                <w:rFonts w:hint="eastAsia" w:ascii="仿宋_GB2312" w:hAnsi="仿宋" w:eastAsia="仿宋_GB2312" w:cs="仿宋"/>
                <w:szCs w:val="21"/>
                <w:highlight w:val="none"/>
                <w:lang w:val="en-US" w:eastAsia="zh-CN"/>
              </w:rPr>
              <w:t>:为基础教育优质资源倍增，初中强校提质、职业教育创新发展、优质幼儿园建设和强镇筑基，推动校长（园长）、教师教育数字化转型。</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kern w:val="2"/>
                <w:sz w:val="21"/>
                <w:szCs w:val="21"/>
                <w:lang w:val="en-US" w:eastAsia="zh-CN" w:bidi="ar-SA"/>
              </w:rPr>
              <w:t>2</w:t>
            </w:r>
            <w:r>
              <w:rPr>
                <w:rFonts w:hint="default" w:ascii="仿宋_GB2312" w:hAnsi="仿宋" w:eastAsia="仿宋_GB2312" w:cs="仿宋"/>
                <w:kern w:val="2"/>
                <w:sz w:val="21"/>
                <w:szCs w:val="21"/>
                <w:lang w:val="en-US" w:eastAsia="zh-CN" w:bidi="ar-SA"/>
              </w:rPr>
              <w:t>.</w:t>
            </w:r>
            <w:r>
              <w:rPr>
                <w:rFonts w:hint="default" w:ascii="仿宋_GB2312" w:hAnsi="仿宋" w:eastAsia="仿宋_GB2312" w:cs="仿宋"/>
                <w:szCs w:val="21"/>
                <w:highlight w:val="none"/>
                <w:lang w:val="en-US" w:eastAsia="zh-CN"/>
              </w:rPr>
              <w:t>人工智能骨干教师培训项目</w:t>
            </w:r>
            <w:r>
              <w:rPr>
                <w:rFonts w:hint="eastAsia" w:ascii="仿宋_GB2312" w:hAnsi="仿宋" w:eastAsia="仿宋_GB2312" w:cs="仿宋"/>
                <w:szCs w:val="21"/>
                <w:highlight w:val="none"/>
                <w:lang w:val="en-US" w:eastAsia="zh-CN"/>
              </w:rPr>
              <w:t>:对青岛市人工智能骨干教师采用线上线下结合的方式进行专项培训，包括线上普及培训、线下专项培训、竞赛专项培训、经验交流式培训。</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kern w:val="2"/>
                <w:sz w:val="21"/>
                <w:szCs w:val="21"/>
                <w:lang w:val="en-US" w:eastAsia="zh-CN" w:bidi="ar-SA"/>
              </w:rPr>
              <w:t>3</w:t>
            </w:r>
            <w:r>
              <w:rPr>
                <w:rFonts w:hint="default" w:ascii="仿宋_GB2312" w:hAnsi="仿宋" w:eastAsia="仿宋_GB2312" w:cs="仿宋"/>
                <w:kern w:val="2"/>
                <w:sz w:val="21"/>
                <w:szCs w:val="21"/>
                <w:lang w:val="en-US" w:eastAsia="zh-CN" w:bidi="ar-SA"/>
              </w:rPr>
              <w:t>.</w:t>
            </w:r>
            <w:r>
              <w:rPr>
                <w:rFonts w:hint="eastAsia" w:ascii="仿宋_GB2312" w:hAnsi="仿宋" w:eastAsia="仿宋_GB2312" w:cs="仿宋"/>
                <w:szCs w:val="21"/>
                <w:highlight w:val="none"/>
                <w:lang w:val="en-US" w:eastAsia="zh-CN"/>
              </w:rPr>
              <w:t>远程研修及教师培训管理系统优化提升项目:教师全员远程研修专家遴选、培训，去学校指导线下线上混合式研修，教师信息技术应用能力提升，教师培训项目及培训学分管理系统维护，为教师健全学习电子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6" w:hRule="atLeast"/>
          <w:tblHeader/>
          <w:jc w:val="center"/>
        </w:trPr>
        <w:tc>
          <w:tcPr>
            <w:tcW w:w="692" w:type="dxa"/>
            <w:vAlign w:val="center"/>
          </w:tcPr>
          <w:p>
            <w:pPr>
              <w:spacing w:line="320" w:lineRule="exact"/>
              <w:jc w:val="center"/>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4</w:t>
            </w:r>
          </w:p>
        </w:tc>
        <w:tc>
          <w:tcPr>
            <w:tcW w:w="1149" w:type="dxa"/>
            <w:vAlign w:val="center"/>
          </w:tcPr>
          <w:p>
            <w:pPr>
              <w:spacing w:line="320" w:lineRule="exact"/>
              <w:jc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专题培训系列（内设12个子项目）</w:t>
            </w:r>
          </w:p>
        </w:tc>
        <w:tc>
          <w:tcPr>
            <w:tcW w:w="7086" w:type="dxa"/>
            <w:vAlign w:val="center"/>
          </w:tcPr>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1.心理教师赴高校培训经费：由青岛市教师培训中心组织心理教师赴知名高校开展心理健康教师示范培训。</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2.中小学校骨干校医培训：中小学校骨干校医培训，提高校医的专业能力及综合能力，不断提高学校医务工作人员和学校卫生工作水平。</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3.2024年青岛市中小学艺术骨干教师培训：进一步加强中小学美育教师培训，提高中小学美育师资队伍的质量和水平，带动美育工作整体提升。</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4.2024年青岛市特殊教育培训项目：全市特殊教育学校新入职教师特殊教育专业通识培训，特殊教育骨干教师培训，随班就读骨干教师专业培训等，旨在加强特殊教育教师队伍建设，完善特殊教育支持体系，推动特殊教育、融合教育高质量发展。</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5.新中考新高考培训：2024年山东省将开始中考统一命题（各学科陆续），2026年将实现全部主要文化学科统一命题；高中需要在新高考背景下，加强对高中新教材使用的指导和培训，更好落实高中新课标要求，更好应对新高考。因此，拟于2024年至2026年连续三年组织开展青岛市新教材、新中考、新高考骨干教师培训。</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6.中小学教师科研工作站研修：招收一批学员，培训周期为1年，采用集中学习与分散学习相结合的方式，通过专家讲座、互动研讨等单位访学等形式，帮助访学教师掌握教育研究方法。凝聚一支跨学科、跨学段、跨区域的教师研究团队。</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7.骨干教师教育评价测量与考试命题培训项目：面向青岛市高初中骨干教师、教研人员组织的命题技术培训。</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8.省公费师范生实习支教及集中培训项目：落实实习补助，开展相关培训，以提高面向青岛就业省公费师范生素质能力。</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9.强镇筑基镇骨干教师素质提升项目：分学段对优秀乡村教师进行重点培训，推动优秀乡村教师成长。</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10.强镇筑基镇教师英语专题培训：持续提升乡村学校英语教师素质能力。</w:t>
            </w:r>
          </w:p>
          <w:p>
            <w:pPr>
              <w:keepNext w:val="0"/>
              <w:keepLines w:val="0"/>
              <w:widowControl/>
              <w:suppressLineNumbers w:val="0"/>
              <w:jc w:val="left"/>
              <w:textAlignment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11.局属财务人员专题培训：提升局属财务人员素质能力。</w:t>
            </w:r>
          </w:p>
          <w:p>
            <w:pPr>
              <w:keepNext w:val="0"/>
              <w:keepLines w:val="0"/>
              <w:widowControl/>
              <w:suppressLineNumbers w:val="0"/>
              <w:jc w:val="left"/>
              <w:textAlignment w:val="center"/>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12.消防设施操作员培训：局管学校消防设施操作员培训。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7" w:hRule="atLeast"/>
          <w:tblHeader/>
          <w:jc w:val="center"/>
        </w:trPr>
        <w:tc>
          <w:tcPr>
            <w:tcW w:w="692" w:type="dxa"/>
            <w:vAlign w:val="center"/>
          </w:tcPr>
          <w:p>
            <w:pPr>
              <w:spacing w:line="320" w:lineRule="exact"/>
              <w:jc w:val="center"/>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5</w:t>
            </w:r>
          </w:p>
        </w:tc>
        <w:tc>
          <w:tcPr>
            <w:tcW w:w="1149" w:type="dxa"/>
            <w:vAlign w:val="center"/>
          </w:tcPr>
          <w:p>
            <w:pPr>
              <w:spacing w:line="320" w:lineRule="exact"/>
              <w:jc w:val="center"/>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支持学校层面开展教师梯队发展</w:t>
            </w:r>
          </w:p>
        </w:tc>
        <w:tc>
          <w:tcPr>
            <w:tcW w:w="7086" w:type="dxa"/>
            <w:vAlign w:val="center"/>
          </w:tcPr>
          <w:p>
            <w:pPr>
              <w:keepNext w:val="0"/>
              <w:keepLines w:val="0"/>
              <w:widowControl/>
              <w:suppressLineNumbers w:val="0"/>
              <w:jc w:val="left"/>
              <w:textAlignment w:val="center"/>
              <w:rPr>
                <w:rFonts w:hint="default" w:ascii="仿宋_GB2312" w:hAnsi="仿宋" w:eastAsia="仿宋_GB2312" w:cs="仿宋"/>
                <w:szCs w:val="21"/>
                <w:highlight w:val="none"/>
                <w:lang w:val="en-US" w:eastAsia="zh-CN"/>
              </w:rPr>
            </w:pPr>
            <w:r>
              <w:rPr>
                <w:rFonts w:hint="default" w:ascii="仿宋_GB2312" w:hAnsi="仿宋" w:eastAsia="仿宋_GB2312" w:cs="仿宋"/>
                <w:szCs w:val="21"/>
                <w:highlight w:val="none"/>
                <w:lang w:val="en-US" w:eastAsia="zh-CN"/>
              </w:rPr>
              <w:t>学校校本培训改革试点项目</w:t>
            </w:r>
            <w:r>
              <w:rPr>
                <w:rFonts w:hint="eastAsia" w:ascii="仿宋_GB2312" w:hAnsi="仿宋" w:eastAsia="仿宋_GB2312" w:cs="仿宋"/>
                <w:szCs w:val="21"/>
                <w:highlight w:val="none"/>
                <w:lang w:val="en-US" w:eastAsia="zh-CN"/>
              </w:rPr>
              <w:t>，鼓励支持青岛市教师专业发展学校开展年龄、学科、职称和专业能力四个发展梯队建设，组织校本研修管理者培训，不断优化学校教师队伍结构，逐步解决结构性缺编问题。</w:t>
            </w:r>
          </w:p>
        </w:tc>
      </w:tr>
    </w:tbl>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3.项目实施情况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青岛市教育局（以下简称“市教育局”）、山东省平度师范学校（青岛市中小学教师培训中心）（以下简称“平度师范（教培中心）”）作为培训类项目主要实施单位，市教育局直属学校20个及各区市教体局分管学校62个作为工作室承办单位，各项目实施情况如下表2所示：</w:t>
      </w:r>
    </w:p>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 xml:space="preserve">表2 </w:t>
      </w:r>
      <w:r>
        <w:rPr>
          <w:rFonts w:hint="default" w:ascii="仿宋_GB2312" w:hAnsi="仿宋" w:eastAsia="仿宋_GB2312" w:cs="仿宋"/>
          <w:b/>
          <w:bCs/>
          <w:szCs w:val="21"/>
          <w:highlight w:val="none"/>
          <w:lang w:val="en-US" w:eastAsia="zh-CN"/>
        </w:rPr>
        <w:t>项目</w:t>
      </w:r>
      <w:r>
        <w:rPr>
          <w:rFonts w:hint="eastAsia" w:ascii="仿宋_GB2312" w:hAnsi="仿宋" w:eastAsia="仿宋_GB2312" w:cs="仿宋"/>
          <w:b/>
          <w:bCs/>
          <w:szCs w:val="21"/>
          <w:highlight w:val="none"/>
          <w:lang w:val="en-US" w:eastAsia="zh-CN"/>
        </w:rPr>
        <w:t>实施情况表</w:t>
      </w:r>
    </w:p>
    <w:tbl>
      <w:tblPr>
        <w:tblStyle w:val="12"/>
        <w:tblW w:w="90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7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blHeader/>
          <w:jc w:val="center"/>
        </w:trPr>
        <w:tc>
          <w:tcPr>
            <w:tcW w:w="1180" w:type="dxa"/>
            <w:vAlign w:val="center"/>
          </w:tcPr>
          <w:p>
            <w:pPr>
              <w:spacing w:line="320" w:lineRule="exact"/>
              <w:jc w:val="center"/>
              <w:rPr>
                <w:rFonts w:hint="default"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实施单位</w:t>
            </w:r>
          </w:p>
        </w:tc>
        <w:tc>
          <w:tcPr>
            <w:tcW w:w="7855" w:type="dxa"/>
            <w:vAlign w:val="center"/>
          </w:tcPr>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项目实施情况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0" w:hRule="atLeast"/>
          <w:jc w:val="center"/>
        </w:trPr>
        <w:tc>
          <w:tcPr>
            <w:tcW w:w="1180"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市教育局</w:t>
            </w:r>
          </w:p>
        </w:tc>
        <w:tc>
          <w:tcPr>
            <w:tcW w:w="785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（一）</w:t>
            </w:r>
            <w:r>
              <w:rPr>
                <w:rFonts w:hint="default" w:ascii="仿宋_GB2312" w:hAnsi="仿宋" w:eastAsia="仿宋_GB2312" w:cs="仿宋"/>
                <w:szCs w:val="21"/>
                <w:highlight w:val="none"/>
                <w:lang w:val="en-US" w:eastAsia="zh-CN"/>
              </w:rPr>
              <w:t>青年教师“菁英计划”</w:t>
            </w:r>
            <w:r>
              <w:rPr>
                <w:rFonts w:hint="eastAsia" w:ascii="仿宋_GB2312" w:hAnsi="仿宋" w:eastAsia="仿宋_GB2312" w:cs="仿宋"/>
                <w:szCs w:val="21"/>
                <w:highlight w:val="none"/>
                <w:lang w:val="en-US" w:eastAsia="zh-CN"/>
              </w:rPr>
              <w:t>项目</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jc w:val="left"/>
              <w:textAlignment w:val="auto"/>
              <w:rPr>
                <w:rFonts w:hint="eastAsia" w:ascii="仿宋_GB2312" w:hAnsi="仿宋" w:eastAsia="仿宋_GB2312" w:cs="仿宋"/>
                <w:szCs w:val="21"/>
                <w:highlight w:val="none"/>
                <w:lang w:val="en-US" w:eastAsia="zh-CN"/>
              </w:rPr>
            </w:pPr>
            <w:r>
              <w:rPr>
                <w:rFonts w:hint="default" w:ascii="仿宋_GB2312" w:hAnsi="仿宋" w:eastAsia="仿宋_GB2312" w:cs="仿宋"/>
                <w:szCs w:val="21"/>
                <w:highlight w:val="none"/>
                <w:lang w:val="en-US" w:eastAsia="zh-CN"/>
              </w:rPr>
              <w:t> 2023年3月市教育局</w:t>
            </w:r>
            <w:r>
              <w:rPr>
                <w:rFonts w:hint="eastAsia" w:ascii="仿宋_GB2312" w:hAnsi="仿宋" w:eastAsia="仿宋_GB2312" w:cs="仿宋"/>
                <w:szCs w:val="21"/>
                <w:highlight w:val="none"/>
                <w:lang w:val="en-US" w:eastAsia="zh-CN"/>
              </w:rPr>
              <w:t>印发《关于实施青年教师“菁英计划”培养工程的通知》，通知列明自2023年开始实施青年教师“菁英计划”。培养目标：每年遴选有发展潜力的优秀青年教师600人，持续跟踪指导不少于3年，以培养一批优秀青年教师。届终考核合格，认定为青岛市优秀青年教师。2023年6月市教育局与青岛大学签订《青岛市青年教师“菁英计划”首期培养工程实施协议》，协议约定对纳入青岛市“菁英计划”培养工程的优秀青年教师的发展提供跟踪指导等工作；合同期限为2023年7月至2026年7月；每年培训费150万元（包含师资费、场地费、资料费等）。2023年8月举办“菁英计划”培养工程启动仪式，首期遴选621名青年教师，采用“导师制+三年长周期培养”模式推进学科培养工作。2024年度开展教研活动总计591场。2024年11月市教育局与青岛大学签订《青岛市青年教师“菁英计划”培养工程(第二期)技术服务合同》，合同约定为纳入青岛市“菁英计划”培养工程的优秀青年人数的专业发展提供全面支撑；合同期限为2024年12月至2027年11月；每年培训费180万元（包含师资费、场地费、资料费等）。</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jc w:val="left"/>
              <w:textAlignment w:val="auto"/>
              <w:rPr>
                <w:rFonts w:hint="default" w:ascii="仿宋_GB2312" w:hAnsi="仿宋" w:eastAsia="仿宋_GB2312" w:cs="仿宋"/>
                <w:szCs w:val="21"/>
                <w:highlight w:val="none"/>
                <w:lang w:val="en-US" w:eastAsia="zh-CN"/>
              </w:rPr>
            </w:pPr>
            <w:r>
              <w:rPr>
                <w:rFonts w:hint="default" w:ascii="仿宋_GB2312" w:hAnsi="仿宋" w:eastAsia="仿宋_GB2312" w:cs="仿宋"/>
                <w:szCs w:val="21"/>
                <w:highlight w:val="none"/>
                <w:lang w:val="en-US" w:eastAsia="zh-CN"/>
              </w:rPr>
              <w:t>2025年1月16日</w:t>
            </w:r>
            <w:r>
              <w:rPr>
                <w:rFonts w:hint="eastAsia" w:ascii="仿宋_GB2312" w:hAnsi="仿宋" w:eastAsia="仿宋_GB2312" w:cs="仿宋"/>
                <w:szCs w:val="21"/>
                <w:highlight w:val="none"/>
                <w:lang w:val="en-US" w:eastAsia="zh-CN"/>
              </w:rPr>
              <w:t>举办</w:t>
            </w:r>
            <w:r>
              <w:rPr>
                <w:rFonts w:hint="default" w:ascii="仿宋_GB2312" w:hAnsi="仿宋" w:eastAsia="仿宋_GB2312" w:cs="仿宋"/>
                <w:szCs w:val="21"/>
                <w:highlight w:val="none"/>
                <w:lang w:val="en-US" w:eastAsia="zh-CN"/>
              </w:rPr>
              <w:t>第二期青年教师“菁英计划”培养工程启动仪式</w:t>
            </w:r>
            <w:r>
              <w:rPr>
                <w:rFonts w:hint="eastAsia" w:ascii="仿宋_GB2312" w:hAnsi="仿宋" w:eastAsia="仿宋_GB2312" w:cs="仿宋"/>
                <w:szCs w:val="21"/>
                <w:highlight w:val="none"/>
                <w:lang w:val="en-US" w:eastAsia="zh-CN"/>
              </w:rPr>
              <w:t>，二期遴选600名青年教师，运用集中培训、导师指导和任务驱动的混合研修模式，提升教师教学能力。</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firstLine="0" w:firstLineChars="0"/>
              <w:jc w:val="left"/>
              <w:textAlignment w:val="auto"/>
              <w:rPr>
                <w:rFonts w:hint="default" w:ascii="仿宋_GB2312" w:hAnsi="仿宋" w:eastAsia="仿宋_GB2312" w:cs="仿宋"/>
                <w:szCs w:val="21"/>
                <w:highlight w:val="none"/>
                <w:lang w:val="en-US" w:eastAsia="zh-CN"/>
              </w:rPr>
            </w:pPr>
            <w:r>
              <w:rPr>
                <w:rFonts w:hint="eastAsia" w:ascii="仿宋_GB2312" w:hAnsi="仿宋" w:eastAsia="仿宋_GB2312" w:cs="仿宋"/>
                <w:szCs w:val="21"/>
                <w:highlight w:val="none"/>
                <w:lang w:val="en-US" w:eastAsia="zh-CN"/>
              </w:rPr>
              <w:t>（二）</w:t>
            </w:r>
            <w:r>
              <w:rPr>
                <w:rFonts w:hint="default" w:ascii="仿宋_GB2312" w:hAnsi="仿宋" w:eastAsia="仿宋_GB2312" w:cs="仿宋"/>
                <w:szCs w:val="21"/>
                <w:highlight w:val="none"/>
                <w:lang w:val="en-US" w:eastAsia="zh-CN"/>
              </w:rPr>
              <w:t>第五期青岛名师培养工程</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firstLine="0" w:firstLineChars="0"/>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2022年6月市教育局等3部门印发《关于全面推进中小学教师队伍梯队发展的意见》，意见列明实施青岛名师培养工程。青岛名师培养工程每三年一届，每届择优遴选300人达到培养目标要求的，认定为“第X届青岛名师”。2024年12月市教育局组织第五期青岛名师培养工程服务单位招标工作，中标单位：齐鲁师范学院（培养对象：幼儿园教师45人）、青岛大学（培养对象：义务教育阶段教师110人）、陕西师范大学（培养对象：高中(含中职文化课教师）100人）、青岛职业技术学院（培养对象：中职专业课教师45人）。2025年1月市教育局根据《关于做好第五期青岛名师培养工程人选遴选推荐工作的通知》（青教办字〔2024〕60号）开展培养对象遴选工作；2025年3月市教育局公示《第五期青岛名师培养工程人选遴选结果》，遴选优秀教师</w:t>
            </w:r>
            <w:r>
              <w:rPr>
                <w:rFonts w:hint="default" w:ascii="仿宋_GB2312" w:hAnsi="仿宋" w:eastAsia="仿宋_GB2312" w:cs="仿宋"/>
                <w:kern w:val="2"/>
                <w:sz w:val="21"/>
                <w:szCs w:val="21"/>
                <w:lang w:val="en-US" w:eastAsia="zh-CN" w:bidi="ar-SA"/>
              </w:rPr>
              <w:t>300名</w:t>
            </w:r>
            <w:r>
              <w:rPr>
                <w:rFonts w:hint="eastAsia" w:ascii="仿宋_GB2312" w:hAnsi="仿宋" w:eastAsia="仿宋_GB2312" w:cs="仿宋"/>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6" w:hRule="atLeast"/>
          <w:jc w:val="center"/>
        </w:trPr>
        <w:tc>
          <w:tcPr>
            <w:tcW w:w="1180"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平度师范（教培中心）</w:t>
            </w:r>
          </w:p>
        </w:tc>
        <w:tc>
          <w:tcPr>
            <w:tcW w:w="7855"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2024年组织完成25个培训项目：局属单位新教师五年跟踪培训7期、</w:t>
            </w:r>
            <w:r>
              <w:rPr>
                <w:rFonts w:hint="default" w:ascii="仿宋_GB2312" w:hAnsi="仿宋" w:eastAsia="仿宋_GB2312" w:cs="仿宋"/>
                <w:kern w:val="2"/>
                <w:sz w:val="21"/>
                <w:szCs w:val="21"/>
                <w:lang w:val="en-US" w:eastAsia="zh-CN" w:bidi="ar-SA"/>
              </w:rPr>
              <w:t>普通高中骨干教师赴名校跟岗实践培训</w:t>
            </w:r>
            <w:r>
              <w:rPr>
                <w:rFonts w:hint="eastAsia" w:ascii="仿宋_GB2312" w:hAnsi="仿宋" w:eastAsia="仿宋_GB2312" w:cs="仿宋"/>
                <w:kern w:val="2"/>
                <w:sz w:val="21"/>
                <w:szCs w:val="21"/>
                <w:lang w:val="en-US" w:eastAsia="zh-CN" w:bidi="ar-SA"/>
              </w:rPr>
              <w:t>4期、</w:t>
            </w:r>
            <w:r>
              <w:rPr>
                <w:rFonts w:hint="default" w:ascii="仿宋_GB2312" w:hAnsi="仿宋" w:eastAsia="仿宋_GB2312" w:cs="仿宋"/>
                <w:kern w:val="2"/>
                <w:sz w:val="21"/>
                <w:szCs w:val="21"/>
                <w:lang w:val="en-US" w:eastAsia="zh-CN" w:bidi="ar-SA"/>
              </w:rPr>
              <w:t>新一轮全市中小学骨干教师培训</w:t>
            </w:r>
            <w:r>
              <w:rPr>
                <w:rFonts w:hint="eastAsia" w:ascii="仿宋_GB2312" w:hAnsi="仿宋" w:eastAsia="仿宋_GB2312" w:cs="仿宋"/>
                <w:kern w:val="2"/>
                <w:sz w:val="21"/>
                <w:szCs w:val="21"/>
                <w:lang w:val="en-US" w:eastAsia="zh-CN" w:bidi="ar-SA"/>
              </w:rPr>
              <w:t>8期、名师工作室梯队研修1期、高中校长任职资格培训2期、校（园）长能力提升培训3期、骨干校（园）长高级研修3期、心理健康教育副校长专题培训1期、强镇筑基镇校园长专题培训2期、教师校长数字素养提升专题培训8期、人工智能骨干教师培训2期、远程研修及教师培训管理系统优化提升12期、心理教师赴高校培训1期、中小学校骨干校医培训1期、青岛市中小学艺术骨干教师培训1期、青岛市特殊教育培训2期、新中考新高考培训18期、中小学教师科研工作站研修1期、骨干教师教育评价测量与考试命题培训1期、省公费师范生实习支教及集中培训1期、强镇筑基镇骨干教师素质提升培训1期、强镇筑基镇教师英语专题培训2期、局属财务人员专题培训1期、局管学校消防设施操作员培训1期、学校校本培训改革试点培训3期；2024年承办名班主任工作室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6" w:hRule="atLeast"/>
          <w:jc w:val="center"/>
        </w:trPr>
        <w:tc>
          <w:tcPr>
            <w:tcW w:w="1180" w:type="dxa"/>
            <w:vAlign w:val="center"/>
          </w:tcPr>
          <w:p>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市教育局直属学校20个及各区市教体局分管学校62个</w:t>
            </w:r>
          </w:p>
        </w:tc>
        <w:tc>
          <w:tcPr>
            <w:tcW w:w="7855"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2020年</w:t>
            </w:r>
            <w:r>
              <w:rPr>
                <w:rFonts w:hint="default" w:ascii="仿宋_GB2312" w:hAnsi="仿宋" w:eastAsia="仿宋_GB2312" w:cs="仿宋"/>
                <w:kern w:val="2"/>
                <w:sz w:val="21"/>
                <w:szCs w:val="21"/>
                <w:lang w:val="en-US" w:eastAsia="zh-CN" w:bidi="ar-SA"/>
              </w:rPr>
              <w:t>市教育局</w:t>
            </w:r>
            <w:r>
              <w:rPr>
                <w:rFonts w:hint="eastAsia" w:ascii="仿宋_GB2312" w:hAnsi="仿宋" w:eastAsia="仿宋_GB2312" w:cs="仿宋"/>
                <w:kern w:val="2"/>
                <w:sz w:val="21"/>
                <w:szCs w:val="21"/>
                <w:lang w:val="en-US" w:eastAsia="zh-CN" w:bidi="ar-SA"/>
              </w:rPr>
              <w:t>印发《</w:t>
            </w:r>
            <w:r>
              <w:rPr>
                <w:rFonts w:hint="default" w:ascii="仿宋_GB2312" w:hAnsi="仿宋" w:eastAsia="仿宋_GB2312" w:cs="仿宋"/>
                <w:kern w:val="2"/>
                <w:sz w:val="21"/>
                <w:szCs w:val="21"/>
                <w:lang w:val="en-US" w:eastAsia="zh-CN" w:bidi="ar-SA"/>
              </w:rPr>
              <w:t>关于加强“三名工程人才”管理工作的意见</w:t>
            </w:r>
            <w:r>
              <w:rPr>
                <w:rFonts w:hint="eastAsia" w:ascii="仿宋_GB2312" w:hAnsi="仿宋" w:eastAsia="仿宋_GB2312" w:cs="仿宋"/>
                <w:kern w:val="2"/>
                <w:sz w:val="21"/>
                <w:szCs w:val="21"/>
                <w:lang w:val="en-US" w:eastAsia="zh-CN" w:bidi="ar-SA"/>
              </w:rPr>
              <w:t>》（青教通字〔2020〕111号），意见规定</w:t>
            </w:r>
            <w:r>
              <w:rPr>
                <w:rFonts w:hint="default" w:ascii="仿宋_GB2312" w:hAnsi="仿宋" w:eastAsia="仿宋_GB2312" w:cs="仿宋"/>
                <w:kern w:val="2"/>
                <w:sz w:val="21"/>
                <w:szCs w:val="21"/>
                <w:lang w:val="en-US" w:eastAsia="zh-CN" w:bidi="ar-SA"/>
              </w:rPr>
              <w:t>“三名工程人才”</w:t>
            </w:r>
            <w:r>
              <w:rPr>
                <w:rFonts w:hint="eastAsia" w:ascii="仿宋_GB2312" w:hAnsi="仿宋" w:eastAsia="仿宋_GB2312" w:cs="仿宋"/>
                <w:kern w:val="2"/>
                <w:sz w:val="21"/>
                <w:szCs w:val="21"/>
                <w:lang w:val="en-US" w:eastAsia="zh-CN" w:bidi="ar-SA"/>
              </w:rPr>
              <w:t>包含“青岛名师”、“青岛名校长”、“青岛名班主任”，要求推动“</w:t>
            </w:r>
            <w:r>
              <w:rPr>
                <w:rFonts w:hint="default" w:ascii="仿宋_GB2312" w:hAnsi="仿宋" w:eastAsia="仿宋_GB2312" w:cs="仿宋"/>
                <w:kern w:val="2"/>
                <w:sz w:val="21"/>
                <w:szCs w:val="21"/>
                <w:lang w:val="en-US" w:eastAsia="zh-CN" w:bidi="ar-SA"/>
              </w:rPr>
              <w:t>三名工程人才”管理机制创新, 形成人才成长梯队</w:t>
            </w:r>
            <w:r>
              <w:rPr>
                <w:rFonts w:hint="eastAsia" w:ascii="仿宋_GB2312" w:hAnsi="仿宋" w:eastAsia="仿宋_GB2312" w:cs="仿宋"/>
                <w:kern w:val="2"/>
                <w:sz w:val="21"/>
                <w:szCs w:val="21"/>
                <w:lang w:val="en-US"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2022年市教育局会同市人社局、市财政局印发《关于全面推进中小学教师队伍梯队发展的意见》（青教通字〔2022〕78号）列明要建立健全各发展阶段教师发挥作用工作机制，国家教学名师引领齐鲁名师发展，齐鲁名师名校长名班主任引领青岛名师名校长名班主任发展、青岛名师名校长名班主任引领骨干教师和“菁英教师”发展。</w:t>
            </w:r>
          </w:p>
          <w:p>
            <w:pPr>
              <w:keepNext w:val="0"/>
              <w:keepLines w:val="0"/>
              <w:pageBreakBefore w:val="0"/>
              <w:numPr>
                <w:ilvl w:val="0"/>
                <w:numId w:val="0"/>
              </w:numPr>
              <w:kinsoku/>
              <w:wordWrap/>
              <w:overflowPunct/>
              <w:topLinePunct w:val="0"/>
              <w:autoSpaceDE/>
              <w:autoSpaceDN/>
              <w:bidi w:val="0"/>
              <w:adjustRightInd/>
              <w:snapToGrid/>
              <w:spacing w:line="300" w:lineRule="exact"/>
              <w:ind w:left="0" w:leftChars="0" w:firstLine="0" w:firstLineChars="0"/>
              <w:jc w:val="left"/>
              <w:textAlignment w:val="auto"/>
              <w:rPr>
                <w:rFonts w:hint="eastAsia" w:ascii="仿宋_GB2312" w:hAnsi="仿宋" w:eastAsia="仿宋_GB2312" w:cs="仿宋"/>
                <w:kern w:val="2"/>
                <w:sz w:val="21"/>
                <w:szCs w:val="21"/>
                <w:lang w:val="en-US" w:eastAsia="zh-CN" w:bidi="ar-SA"/>
              </w:rPr>
            </w:pPr>
            <w:r>
              <w:rPr>
                <w:rFonts w:hint="eastAsia" w:ascii="仿宋_GB2312" w:hAnsi="仿宋" w:eastAsia="仿宋_GB2312" w:cs="仿宋"/>
                <w:kern w:val="2"/>
                <w:sz w:val="21"/>
                <w:szCs w:val="21"/>
                <w:lang w:val="en-US" w:eastAsia="zh-CN" w:bidi="ar-SA"/>
              </w:rPr>
              <w:t>2023年期间市教育局认定6类工作室共96个。其中：</w:t>
            </w:r>
            <w:r>
              <w:rPr>
                <w:rFonts w:hint="default" w:ascii="仿宋_GB2312" w:hAnsi="仿宋" w:eastAsia="仿宋_GB2312" w:cs="仿宋"/>
                <w:kern w:val="2"/>
                <w:sz w:val="21"/>
                <w:szCs w:val="21"/>
                <w:lang w:val="en-US" w:eastAsia="zh-CN" w:bidi="ar-SA"/>
              </w:rPr>
              <w:t>《关于公布青岛市中小学幼儿园名师工作室梯队名单及其成员的通知》</w:t>
            </w:r>
            <w:r>
              <w:rPr>
                <w:rFonts w:hint="eastAsia" w:ascii="仿宋_GB2312" w:hAnsi="仿宋" w:eastAsia="仿宋_GB2312" w:cs="仿宋"/>
                <w:kern w:val="2"/>
                <w:sz w:val="21"/>
                <w:szCs w:val="21"/>
                <w:lang w:val="en-US" w:eastAsia="zh-CN" w:bidi="ar-SA"/>
              </w:rPr>
              <w:t>，通知列明组建</w:t>
            </w:r>
            <w:r>
              <w:rPr>
                <w:rFonts w:hint="default" w:ascii="仿宋_GB2312" w:hAnsi="仿宋" w:eastAsia="仿宋_GB2312" w:cs="仿宋"/>
                <w:kern w:val="2"/>
                <w:sz w:val="21"/>
                <w:szCs w:val="21"/>
                <w:lang w:val="en-US" w:eastAsia="zh-CN" w:bidi="ar-SA"/>
              </w:rPr>
              <w:t>第一梯队国家教学名师培育工作室6个</w:t>
            </w:r>
            <w:r>
              <w:rPr>
                <w:rFonts w:hint="eastAsia" w:ascii="仿宋_GB2312" w:hAnsi="仿宋" w:eastAsia="仿宋_GB2312" w:cs="仿宋"/>
                <w:kern w:val="2"/>
                <w:sz w:val="21"/>
                <w:szCs w:val="21"/>
                <w:lang w:val="en-US" w:eastAsia="zh-CN" w:bidi="ar-SA"/>
              </w:rPr>
              <w:t>、第二梯队齐鲁名师培育工作室10个、第三梯队青岛名师培育工作室20个；</w:t>
            </w:r>
            <w:r>
              <w:rPr>
                <w:rFonts w:hint="default" w:ascii="仿宋_GB2312" w:hAnsi="仿宋" w:eastAsia="仿宋_GB2312" w:cs="仿宋"/>
                <w:kern w:val="2"/>
                <w:sz w:val="21"/>
                <w:szCs w:val="21"/>
                <w:lang w:val="en-US" w:eastAsia="zh-CN" w:bidi="ar-SA"/>
              </w:rPr>
              <w:t>《关于公布青岛市第三批名班主任工作室组成人员名单的通知》（青教办字〔2023〕49号）</w:t>
            </w:r>
            <w:r>
              <w:rPr>
                <w:rFonts w:hint="eastAsia" w:ascii="仿宋_GB2312" w:hAnsi="仿宋" w:eastAsia="仿宋_GB2312" w:cs="仿宋"/>
                <w:kern w:val="2"/>
                <w:sz w:val="21"/>
                <w:szCs w:val="21"/>
                <w:lang w:val="en-US" w:eastAsia="zh-CN" w:bidi="ar-SA"/>
              </w:rPr>
              <w:t>组建</w:t>
            </w:r>
            <w:r>
              <w:rPr>
                <w:rFonts w:hint="default" w:ascii="仿宋_GB2312" w:hAnsi="仿宋" w:eastAsia="仿宋_GB2312" w:cs="仿宋"/>
                <w:kern w:val="2"/>
                <w:sz w:val="21"/>
                <w:szCs w:val="21"/>
                <w:lang w:val="en-US" w:eastAsia="zh-CN" w:bidi="ar-SA"/>
              </w:rPr>
              <w:t>名班主任工作室30个</w:t>
            </w:r>
            <w:r>
              <w:rPr>
                <w:rFonts w:hint="eastAsia" w:ascii="仿宋_GB2312" w:hAnsi="仿宋" w:eastAsia="仿宋_GB2312" w:cs="仿宋"/>
                <w:kern w:val="2"/>
                <w:sz w:val="21"/>
                <w:szCs w:val="21"/>
                <w:lang w:val="en-US" w:eastAsia="zh-CN" w:bidi="ar-SA"/>
              </w:rPr>
              <w:t>；</w:t>
            </w:r>
            <w:r>
              <w:rPr>
                <w:rFonts w:hint="default" w:ascii="仿宋_GB2312" w:hAnsi="仿宋" w:eastAsia="仿宋_GB2312" w:cs="仿宋"/>
                <w:kern w:val="2"/>
                <w:sz w:val="21"/>
                <w:szCs w:val="21"/>
                <w:lang w:val="en-US" w:eastAsia="zh-CN" w:bidi="ar-SA"/>
              </w:rPr>
              <w:t>《关于公布首批青岛名校长领航工作室名单的通知》（青教办字〔2023〕31号）</w:t>
            </w:r>
            <w:r>
              <w:rPr>
                <w:rFonts w:hint="eastAsia" w:ascii="仿宋_GB2312" w:hAnsi="仿宋" w:eastAsia="仿宋_GB2312" w:cs="仿宋"/>
                <w:kern w:val="2"/>
                <w:sz w:val="21"/>
                <w:szCs w:val="21"/>
                <w:lang w:val="en-US" w:eastAsia="zh-CN" w:bidi="ar-SA"/>
              </w:rPr>
              <w:t>组建名校长领航工作室</w:t>
            </w:r>
            <w:r>
              <w:rPr>
                <w:rFonts w:hint="default" w:ascii="仿宋_GB2312" w:hAnsi="仿宋" w:eastAsia="仿宋_GB2312" w:cs="仿宋"/>
                <w:kern w:val="2"/>
                <w:sz w:val="21"/>
                <w:szCs w:val="21"/>
                <w:lang w:val="en-US" w:eastAsia="zh-CN" w:bidi="ar-SA"/>
              </w:rPr>
              <w:t>20个</w:t>
            </w:r>
            <w:r>
              <w:rPr>
                <w:rFonts w:hint="eastAsia" w:ascii="仿宋_GB2312" w:hAnsi="仿宋" w:eastAsia="仿宋_GB2312" w:cs="仿宋"/>
                <w:kern w:val="2"/>
                <w:sz w:val="21"/>
                <w:szCs w:val="21"/>
                <w:lang w:val="en-US" w:eastAsia="zh-CN" w:bidi="ar-SA"/>
              </w:rPr>
              <w:t>；</w:t>
            </w:r>
            <w:r>
              <w:rPr>
                <w:rFonts w:hint="default" w:ascii="仿宋_GB2312" w:hAnsi="仿宋" w:eastAsia="仿宋_GB2312" w:cs="仿宋"/>
                <w:szCs w:val="21"/>
                <w:highlight w:val="none"/>
                <w:lang w:val="en-US" w:eastAsia="zh-CN"/>
              </w:rPr>
              <w:t>《关于公布青岛市家庭教育名师工作室组成人员的通知》（青教通字〔2023〕131号）</w:t>
            </w:r>
            <w:r>
              <w:rPr>
                <w:rFonts w:hint="eastAsia" w:ascii="仿宋_GB2312" w:hAnsi="仿宋" w:eastAsia="仿宋_GB2312" w:cs="仿宋"/>
                <w:kern w:val="2"/>
                <w:sz w:val="21"/>
                <w:szCs w:val="21"/>
                <w:lang w:val="en-US" w:eastAsia="zh-CN" w:bidi="ar-SA"/>
              </w:rPr>
              <w:t>组建</w:t>
            </w:r>
            <w:r>
              <w:rPr>
                <w:rFonts w:hint="default" w:ascii="仿宋_GB2312" w:hAnsi="仿宋" w:eastAsia="仿宋_GB2312" w:cs="仿宋"/>
                <w:szCs w:val="21"/>
                <w:highlight w:val="none"/>
                <w:lang w:val="en-US" w:eastAsia="zh-CN"/>
              </w:rPr>
              <w:t>家庭教育名师工作室</w:t>
            </w:r>
            <w:r>
              <w:rPr>
                <w:rFonts w:hint="eastAsia" w:ascii="仿宋_GB2312" w:hAnsi="仿宋" w:eastAsia="仿宋_GB2312" w:cs="仿宋"/>
                <w:szCs w:val="21"/>
                <w:highlight w:val="none"/>
                <w:lang w:val="en-US" w:eastAsia="zh-CN"/>
              </w:rPr>
              <w:t>10个。</w:t>
            </w:r>
          </w:p>
        </w:tc>
      </w:tr>
    </w:tbl>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4.资金投入及使用情况</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教师素质提升项目2024年初预算金额2800万元（市级使用资金2410万元、区市转移资金390万元），共涉及5大类别，其中：市级教师发展梯队建设1541.20万元、市级校长培训311.50万元、教育数字素养提升项目298.70万元、专题培训项目448.60万元、学校教师队伍梯队建设支持项目200万元。实际执行数1920.86万元，预算执行率68.60%。各预算单位预算执行情况如下表3所示：</w:t>
      </w:r>
    </w:p>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表3 项目预算执行情况表</w:t>
      </w:r>
    </w:p>
    <w:tbl>
      <w:tblPr>
        <w:tblStyle w:val="12"/>
        <w:tblW w:w="887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4"/>
        <w:gridCol w:w="2331"/>
        <w:gridCol w:w="2135"/>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项目实施单位</w:t>
            </w:r>
          </w:p>
        </w:tc>
        <w:tc>
          <w:tcPr>
            <w:tcW w:w="2331" w:type="dxa"/>
            <w:vAlign w:val="center"/>
          </w:tcPr>
          <w:p>
            <w:pPr>
              <w:spacing w:line="320" w:lineRule="exact"/>
              <w:jc w:val="center"/>
              <w:rPr>
                <w:rFonts w:hint="eastAsia"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预算安排（万元）</w:t>
            </w:r>
          </w:p>
        </w:tc>
        <w:tc>
          <w:tcPr>
            <w:tcW w:w="2135" w:type="dxa"/>
            <w:vAlign w:val="center"/>
          </w:tcPr>
          <w:p>
            <w:pPr>
              <w:spacing w:line="320" w:lineRule="exact"/>
              <w:jc w:val="center"/>
              <w:rPr>
                <w:rFonts w:hint="default"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实际支出（万元）</w:t>
            </w:r>
          </w:p>
        </w:tc>
        <w:tc>
          <w:tcPr>
            <w:tcW w:w="1338" w:type="dxa"/>
            <w:vAlign w:val="center"/>
          </w:tcPr>
          <w:p>
            <w:pPr>
              <w:spacing w:line="320" w:lineRule="exact"/>
              <w:jc w:val="center"/>
              <w:rPr>
                <w:rFonts w:hint="default" w:ascii="仿宋_GB2312" w:hAnsi="仿宋" w:eastAsia="仿宋_GB2312" w:cs="仿宋"/>
                <w:b/>
                <w:bCs/>
                <w:szCs w:val="21"/>
                <w:highlight w:val="none"/>
                <w:lang w:val="en-US" w:eastAsia="zh-CN"/>
              </w:rPr>
            </w:pPr>
            <w:r>
              <w:rPr>
                <w:rFonts w:hint="eastAsia" w:ascii="仿宋_GB2312" w:hAnsi="仿宋" w:eastAsia="仿宋_GB2312" w:cs="仿宋"/>
                <w:b/>
                <w:bCs/>
                <w:szCs w:val="21"/>
                <w:highlight w:val="none"/>
                <w:lang w:val="en-US" w:eastAsia="zh-CN"/>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市教育局</w:t>
            </w:r>
          </w:p>
        </w:tc>
        <w:tc>
          <w:tcPr>
            <w:tcW w:w="2331"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530</w:t>
            </w:r>
          </w:p>
        </w:tc>
        <w:tc>
          <w:tcPr>
            <w:tcW w:w="2135"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330</w:t>
            </w:r>
          </w:p>
        </w:tc>
        <w:tc>
          <w:tcPr>
            <w:tcW w:w="133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平度师范（教培中心）</w:t>
            </w:r>
          </w:p>
        </w:tc>
        <w:tc>
          <w:tcPr>
            <w:tcW w:w="2331"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1725</w:t>
            </w:r>
          </w:p>
        </w:tc>
        <w:tc>
          <w:tcPr>
            <w:tcW w:w="213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1306.91</w:t>
            </w:r>
          </w:p>
        </w:tc>
        <w:tc>
          <w:tcPr>
            <w:tcW w:w="133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仿宋" w:eastAsia="仿宋_GB2312" w:cs="仿宋"/>
                <w:kern w:val="2"/>
                <w:sz w:val="21"/>
                <w:szCs w:val="21"/>
                <w:lang w:val="en-US" w:eastAsia="zh-CN" w:bidi="ar-SA"/>
              </w:rPr>
              <w:t>市教育局直属学校20个</w:t>
            </w:r>
          </w:p>
        </w:tc>
        <w:tc>
          <w:tcPr>
            <w:tcW w:w="233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155</w:t>
            </w:r>
          </w:p>
        </w:tc>
        <w:tc>
          <w:tcPr>
            <w:tcW w:w="213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137.69</w:t>
            </w:r>
          </w:p>
        </w:tc>
        <w:tc>
          <w:tcPr>
            <w:tcW w:w="133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各</w:t>
            </w:r>
            <w:r>
              <w:rPr>
                <w:rFonts w:hint="eastAsia" w:ascii="仿宋_GB2312" w:hAnsi="仿宋" w:eastAsia="仿宋_GB2312" w:cs="仿宋"/>
                <w:kern w:val="2"/>
                <w:sz w:val="21"/>
                <w:szCs w:val="21"/>
                <w:lang w:val="en-US" w:eastAsia="zh-CN" w:bidi="ar-SA"/>
              </w:rPr>
              <w:t>区市教体局分管学校62个</w:t>
            </w:r>
          </w:p>
        </w:tc>
        <w:tc>
          <w:tcPr>
            <w:tcW w:w="233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390</w:t>
            </w:r>
          </w:p>
        </w:tc>
        <w:tc>
          <w:tcPr>
            <w:tcW w:w="213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146.26</w:t>
            </w:r>
          </w:p>
        </w:tc>
        <w:tc>
          <w:tcPr>
            <w:tcW w:w="133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074"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合计</w:t>
            </w:r>
          </w:p>
        </w:tc>
        <w:tc>
          <w:tcPr>
            <w:tcW w:w="2331"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2800</w:t>
            </w:r>
          </w:p>
        </w:tc>
        <w:tc>
          <w:tcPr>
            <w:tcW w:w="2135"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1920.86</w:t>
            </w:r>
          </w:p>
        </w:tc>
        <w:tc>
          <w:tcPr>
            <w:tcW w:w="133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68.60%</w:t>
            </w:r>
          </w:p>
        </w:tc>
      </w:tr>
    </w:tbl>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注：青岛大学附属中学预算10万元（工作室经费）并入</w:t>
      </w:r>
      <w:r>
        <w:rPr>
          <w:rFonts w:hint="eastAsia" w:ascii="仿宋_GB2312" w:hAnsi="仿宋" w:eastAsia="仿宋_GB2312" w:cs="仿宋"/>
          <w:kern w:val="2"/>
          <w:sz w:val="21"/>
          <w:szCs w:val="21"/>
          <w:lang w:val="en-US" w:eastAsia="zh-CN" w:bidi="ar-SA"/>
        </w:rPr>
        <w:t>市教育局直属学校中列示</w:t>
      </w:r>
      <w:r>
        <w:rPr>
          <w:rFonts w:hint="eastAsia" w:ascii="仿宋_GB2312" w:hAnsi="宋体" w:eastAsia="仿宋_GB2312" w:cs="仿宋_GB2312"/>
          <w:i w:val="0"/>
          <w:iCs w:val="0"/>
          <w:color w:val="000000"/>
          <w:kern w:val="0"/>
          <w:sz w:val="21"/>
          <w:szCs w:val="21"/>
          <w:u w:val="none"/>
          <w:lang w:val="en-US" w:eastAsia="zh-CN" w:bidi="ar"/>
        </w:rPr>
        <w:t>、平度师范（教培中心）1725万元预算中含1个名班主任工作室补助经费5万元。</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（二）项目绩效目标</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1.总体目标</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通过开展教师培训，推动教师素质能力持续提升；名师工程培养，提高教师专业素质的效果；培训骨干教师、新教师、骨干班主任、校长、特殊教育、财务人员等多层次群体，不断提升干部教师教育教学能力和业务素养。</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2.年度目标</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主要绩效指标</w:t>
      </w:r>
      <w:r>
        <w:rPr>
          <w:rFonts w:hint="eastAsia" w:ascii="仿宋_GB2312" w:hAnsi="仿宋_GB2312" w:eastAsia="仿宋_GB2312" w:cs="仿宋_GB2312"/>
          <w:sz w:val="32"/>
          <w:szCs w:val="40"/>
          <w:highlight w:val="none"/>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山东省平度师范学校（青岛市中小学教师培训中心）培训开展频率≥1次/周、培训人数≥9000人次；第五期青岛名师工程培养人数≥300人；优秀青年教师重点培养人数≥1200人；补助工作室数量≥94个；受补助工作室资质符合率100%；被培训人员满意度≥95%。</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黑体" w:hAnsi="黑体" w:eastAsia="黑体" w:cs="黑体"/>
          <w:sz w:val="32"/>
          <w:szCs w:val="40"/>
          <w:highlight w:val="none"/>
        </w:rPr>
      </w:pPr>
      <w:r>
        <w:rPr>
          <w:rFonts w:hint="eastAsia" w:ascii="黑体" w:hAnsi="黑体" w:eastAsia="黑体" w:cs="黑体"/>
          <w:sz w:val="32"/>
          <w:szCs w:val="40"/>
          <w:highlight w:val="none"/>
        </w:rPr>
        <w:t>二、绩效评价工作开展情况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（一）评价目的、评价对象和范围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1.评价目的</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通过对</w:t>
      </w:r>
      <w:r>
        <w:rPr>
          <w:rFonts w:hint="eastAsia" w:ascii="仿宋_GB2312" w:hAnsi="仿宋_GB2312" w:eastAsia="仿宋_GB2312" w:cs="仿宋_GB2312"/>
          <w:sz w:val="32"/>
          <w:szCs w:val="40"/>
          <w:highlight w:val="none"/>
          <w:lang w:val="en-US" w:eastAsia="zh-CN"/>
        </w:rPr>
        <w:t>教师素质提升项目</w:t>
      </w:r>
      <w:r>
        <w:rPr>
          <w:rFonts w:hint="eastAsia" w:ascii="仿宋_GB2312" w:hAnsi="仿宋_GB2312" w:eastAsia="仿宋_GB2312" w:cs="仿宋_GB2312"/>
          <w:sz w:val="32"/>
          <w:szCs w:val="40"/>
          <w:highlight w:val="none"/>
        </w:rPr>
        <w:t>立项的合法</w:t>
      </w:r>
      <w:r>
        <w:rPr>
          <w:rFonts w:hint="eastAsia" w:ascii="仿宋_GB2312" w:hAnsi="仿宋_GB2312" w:eastAsia="仿宋_GB2312" w:cs="仿宋_GB2312"/>
          <w:sz w:val="32"/>
          <w:szCs w:val="40"/>
          <w:highlight w:val="none"/>
          <w:lang w:val="en-US" w:eastAsia="zh-CN"/>
        </w:rPr>
        <w:t>性和</w:t>
      </w:r>
      <w:r>
        <w:rPr>
          <w:rFonts w:hint="eastAsia" w:ascii="仿宋_GB2312" w:hAnsi="仿宋_GB2312" w:eastAsia="仿宋_GB2312" w:cs="仿宋_GB2312"/>
          <w:sz w:val="32"/>
          <w:szCs w:val="40"/>
          <w:highlight w:val="none"/>
        </w:rPr>
        <w:t>合规</w:t>
      </w:r>
      <w:r>
        <w:rPr>
          <w:rFonts w:hint="eastAsia" w:ascii="仿宋_GB2312" w:hAnsi="仿宋_GB2312" w:eastAsia="仿宋_GB2312" w:cs="仿宋_GB2312"/>
          <w:sz w:val="32"/>
          <w:szCs w:val="40"/>
          <w:highlight w:val="none"/>
          <w:lang w:val="en-US" w:eastAsia="zh-CN"/>
        </w:rPr>
        <w:t>性</w:t>
      </w:r>
      <w:r>
        <w:rPr>
          <w:rFonts w:hint="eastAsia" w:ascii="仿宋_GB2312" w:hAnsi="仿宋_GB2312" w:eastAsia="仿宋_GB2312" w:cs="仿宋_GB2312"/>
          <w:sz w:val="32"/>
          <w:szCs w:val="40"/>
          <w:highlight w:val="none"/>
        </w:rPr>
        <w:t>、</w:t>
      </w:r>
      <w:r>
        <w:rPr>
          <w:rFonts w:hint="eastAsia" w:ascii="仿宋_GB2312" w:hAnsi="仿宋_GB2312" w:eastAsia="仿宋_GB2312" w:cs="仿宋_GB2312"/>
          <w:sz w:val="32"/>
          <w:szCs w:val="40"/>
          <w:highlight w:val="none"/>
          <w:lang w:val="en-US" w:eastAsia="zh-CN"/>
        </w:rPr>
        <w:t>项目实施的科学性和有效性、资金</w:t>
      </w:r>
      <w:r>
        <w:rPr>
          <w:rFonts w:hint="eastAsia" w:ascii="仿宋_GB2312" w:hAnsi="仿宋_GB2312" w:eastAsia="仿宋_GB2312" w:cs="仿宋_GB2312"/>
          <w:sz w:val="32"/>
          <w:szCs w:val="40"/>
          <w:highlight w:val="none"/>
        </w:rPr>
        <w:t>使用的</w:t>
      </w:r>
      <w:r>
        <w:rPr>
          <w:rFonts w:hint="eastAsia" w:ascii="仿宋_GB2312" w:hAnsi="仿宋_GB2312" w:eastAsia="仿宋_GB2312" w:cs="仿宋_GB2312"/>
          <w:sz w:val="32"/>
          <w:szCs w:val="40"/>
          <w:highlight w:val="none"/>
          <w:lang w:val="en-US" w:eastAsia="zh-CN"/>
        </w:rPr>
        <w:t>经济性和</w:t>
      </w:r>
      <w:r>
        <w:rPr>
          <w:rFonts w:hint="eastAsia" w:ascii="仿宋_GB2312" w:hAnsi="仿宋_GB2312" w:eastAsia="仿宋_GB2312" w:cs="仿宋_GB2312"/>
          <w:sz w:val="32"/>
          <w:szCs w:val="40"/>
          <w:highlight w:val="none"/>
        </w:rPr>
        <w:t>效益</w:t>
      </w:r>
      <w:r>
        <w:rPr>
          <w:rFonts w:hint="eastAsia" w:ascii="仿宋_GB2312" w:hAnsi="仿宋_GB2312" w:eastAsia="仿宋_GB2312" w:cs="仿宋_GB2312"/>
          <w:sz w:val="32"/>
          <w:szCs w:val="40"/>
          <w:highlight w:val="none"/>
          <w:lang w:val="en-US" w:eastAsia="zh-CN"/>
        </w:rPr>
        <w:t>性等</w:t>
      </w:r>
      <w:r>
        <w:rPr>
          <w:rFonts w:hint="eastAsia" w:ascii="仿宋_GB2312" w:hAnsi="仿宋_GB2312" w:eastAsia="仿宋_GB2312" w:cs="仿宋_GB2312"/>
          <w:sz w:val="32"/>
          <w:szCs w:val="40"/>
          <w:highlight w:val="none"/>
        </w:rPr>
        <w:t>做出客观评价，切实提升财政资源配置效率和使用效益</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优化公共资源配置，节约公共支出成本</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增强预算编制的</w:t>
      </w:r>
      <w:r>
        <w:rPr>
          <w:rFonts w:hint="eastAsia" w:ascii="仿宋_GB2312" w:hAnsi="仿宋_GB2312" w:eastAsia="仿宋_GB2312" w:cs="仿宋_GB2312"/>
          <w:sz w:val="32"/>
          <w:szCs w:val="40"/>
          <w:highlight w:val="none"/>
          <w:lang w:val="en-US" w:eastAsia="zh-CN"/>
        </w:rPr>
        <w:t>精准</w:t>
      </w:r>
      <w:r>
        <w:rPr>
          <w:rFonts w:hint="eastAsia" w:ascii="仿宋_GB2312" w:hAnsi="仿宋_GB2312" w:eastAsia="仿宋_GB2312" w:cs="仿宋_GB2312"/>
          <w:sz w:val="32"/>
          <w:szCs w:val="40"/>
          <w:highlight w:val="none"/>
        </w:rPr>
        <w:t>性和有效性。</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2.评价对象</w:t>
      </w:r>
      <w:r>
        <w:rPr>
          <w:rFonts w:hint="eastAsia" w:ascii="仿宋_GB2312" w:hAnsi="仿宋_GB2312" w:eastAsia="仿宋_GB2312" w:cs="仿宋_GB2312"/>
          <w:sz w:val="32"/>
          <w:szCs w:val="40"/>
          <w:highlight w:val="none"/>
          <w:lang w:val="en-US" w:eastAsia="zh-CN"/>
        </w:rPr>
        <w:t>和范围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对2024年度教师素质提升项目预算</w:t>
      </w:r>
      <w:r>
        <w:rPr>
          <w:rFonts w:hint="eastAsia" w:ascii="仿宋_GB2312" w:hAnsi="仿宋_GB2312" w:eastAsia="仿宋_GB2312" w:cs="仿宋_GB2312"/>
          <w:sz w:val="32"/>
          <w:szCs w:val="40"/>
          <w:highlight w:val="none"/>
          <w:lang w:val="en-US" w:eastAsia="zh-CN"/>
        </w:rPr>
        <w:t>安排</w:t>
      </w:r>
      <w:r>
        <w:rPr>
          <w:rFonts w:hint="eastAsia" w:ascii="仿宋_GB2312" w:hAnsi="仿宋_GB2312" w:eastAsia="仿宋_GB2312" w:cs="仿宋_GB2312"/>
          <w:sz w:val="32"/>
          <w:szCs w:val="40"/>
          <w:highlight w:val="none"/>
        </w:rPr>
        <w:t>2800万元实施效果</w:t>
      </w:r>
      <w:r>
        <w:rPr>
          <w:rFonts w:hint="eastAsia" w:ascii="仿宋_GB2312" w:hAnsi="仿宋_GB2312" w:eastAsia="仿宋_GB2312" w:cs="仿宋_GB2312"/>
          <w:sz w:val="32"/>
          <w:szCs w:val="40"/>
          <w:highlight w:val="none"/>
          <w:lang w:val="en-US" w:eastAsia="zh-CN"/>
        </w:rPr>
        <w:t>开展财政重点</w:t>
      </w:r>
      <w:r>
        <w:rPr>
          <w:rFonts w:hint="eastAsia" w:ascii="仿宋_GB2312" w:hAnsi="仿宋_GB2312" w:eastAsia="仿宋_GB2312" w:cs="仿宋_GB2312"/>
          <w:sz w:val="32"/>
          <w:szCs w:val="40"/>
          <w:highlight w:val="none"/>
        </w:rPr>
        <w:t>绩效评价。</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（二）评价思路、评价重点、评价指标体系和评价标准</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1.评价思路</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了解教师素质提升项目工作实施、资金使用、效益发挥等预期目标实现程度，及时发现项目组织实施与资金管理中存在的问题和薄弱环节，有针对性的提出建议，进一步提高资金的分配、使用及管理水平</w:t>
      </w:r>
      <w:r>
        <w:rPr>
          <w:rFonts w:hint="eastAsia" w:ascii="仿宋_GB2312" w:hAnsi="仿宋_GB2312" w:eastAsia="仿宋_GB2312" w:cs="仿宋_GB2312"/>
          <w:sz w:val="32"/>
          <w:szCs w:val="40"/>
          <w:highlight w:val="none"/>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2.评价重点</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1</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项目决策方面</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全面了解教师培养培训工作的立项背景和依据，教师培养培训的必要性、教师培养培训目标的明确性、项目实施范围的明确性以及项目立项依据的符合性等。</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2</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项目过程管理方面：收集相关管理制度、措施的制订和执行情况，预算安排和使用情况，教师培养培训工作计划制定和实际实施情况。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3</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项目产出效益方面：重点关注</w:t>
      </w:r>
      <w:r>
        <w:rPr>
          <w:rFonts w:hint="eastAsia" w:ascii="仿宋_GB2312" w:hAnsi="仿宋_GB2312" w:eastAsia="仿宋_GB2312" w:cs="仿宋_GB2312"/>
          <w:sz w:val="32"/>
          <w:szCs w:val="40"/>
          <w:highlight w:val="none"/>
          <w:lang w:val="en-US" w:eastAsia="zh-CN"/>
        </w:rPr>
        <w:t>培训工作完成率、</w:t>
      </w:r>
      <w:r>
        <w:rPr>
          <w:rFonts w:hint="eastAsia" w:ascii="仿宋_GB2312" w:hAnsi="仿宋_GB2312" w:eastAsia="仿宋_GB2312" w:cs="仿宋_GB2312"/>
          <w:sz w:val="32"/>
          <w:szCs w:val="40"/>
          <w:highlight w:val="none"/>
        </w:rPr>
        <w:t>高端教师培养</w:t>
      </w:r>
      <w:r>
        <w:rPr>
          <w:rFonts w:hint="eastAsia" w:ascii="仿宋_GB2312" w:hAnsi="仿宋_GB2312" w:eastAsia="仿宋_GB2312" w:cs="仿宋_GB2312"/>
          <w:sz w:val="32"/>
          <w:szCs w:val="40"/>
          <w:highlight w:val="none"/>
          <w:lang w:val="en-US" w:eastAsia="zh-CN"/>
        </w:rPr>
        <w:t>产出</w:t>
      </w:r>
      <w:r>
        <w:rPr>
          <w:rFonts w:hint="eastAsia" w:ascii="仿宋_GB2312" w:hAnsi="仿宋_GB2312" w:eastAsia="仿宋_GB2312" w:cs="仿宋_GB2312"/>
          <w:sz w:val="32"/>
          <w:szCs w:val="40"/>
          <w:highlight w:val="none"/>
        </w:rPr>
        <w:t>、</w:t>
      </w:r>
      <w:r>
        <w:rPr>
          <w:rFonts w:hint="eastAsia" w:ascii="仿宋_GB2312" w:hAnsi="仿宋_GB2312" w:eastAsia="仿宋_GB2312" w:cs="仿宋_GB2312"/>
          <w:sz w:val="32"/>
          <w:szCs w:val="40"/>
          <w:highlight w:val="none"/>
          <w:lang w:val="en-US" w:eastAsia="zh-CN"/>
        </w:rPr>
        <w:t>培训需求调研、培训成效跟踪、名师梯队培养机制的</w:t>
      </w:r>
      <w:r>
        <w:rPr>
          <w:rFonts w:hint="eastAsia" w:ascii="仿宋_GB2312" w:hAnsi="仿宋_GB2312" w:eastAsia="仿宋_GB2312" w:cs="仿宋_GB2312"/>
          <w:sz w:val="32"/>
          <w:szCs w:val="40"/>
          <w:highlight w:val="none"/>
        </w:rPr>
        <w:t>建立</w:t>
      </w:r>
      <w:r>
        <w:rPr>
          <w:rFonts w:hint="eastAsia" w:ascii="仿宋_GB2312" w:hAnsi="仿宋_GB2312" w:eastAsia="仿宋_GB2312" w:cs="仿宋_GB2312"/>
          <w:sz w:val="32"/>
          <w:szCs w:val="40"/>
          <w:highlight w:val="none"/>
          <w:lang w:val="en-US" w:eastAsia="zh-CN"/>
        </w:rPr>
        <w:t>执行</w:t>
      </w:r>
      <w:r>
        <w:rPr>
          <w:rFonts w:hint="eastAsia" w:ascii="仿宋_GB2312" w:hAnsi="仿宋_GB2312" w:eastAsia="仿宋_GB2312" w:cs="仿宋_GB2312"/>
          <w:sz w:val="32"/>
          <w:szCs w:val="40"/>
          <w:highlight w:val="none"/>
        </w:rPr>
        <w:t>等，通过以上产出和效益指标的考核，结合满意度调查情况，综合评价项目效益实现情况。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3.评价指标体系</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eastAsia="仿宋_GB2312" w:cs="Times New Roman"/>
          <w:kern w:val="2"/>
          <w:sz w:val="32"/>
          <w:szCs w:val="32"/>
          <w:highlight w:val="none"/>
          <w:lang w:val="en-US" w:eastAsia="zh-CN" w:bidi="ar-SA"/>
        </w:rPr>
        <w:t>本次绩效评价</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项目决策</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过程</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产出和效益4</w:t>
      </w:r>
      <w:r>
        <w:rPr>
          <w:rFonts w:hint="eastAsia" w:ascii="仿宋_GB2312" w:hAnsi="仿宋_GB2312" w:eastAsia="仿宋_GB2312" w:cs="仿宋_GB2312"/>
          <w:color w:val="auto"/>
          <w:sz w:val="32"/>
          <w:szCs w:val="32"/>
          <w:highlight w:val="none"/>
        </w:rPr>
        <w:t>个维度</w:t>
      </w:r>
      <w:r>
        <w:rPr>
          <w:rFonts w:hint="eastAsia" w:ascii="仿宋_GB2312" w:hAnsi="仿宋_GB2312" w:eastAsia="仿宋_GB2312" w:cs="仿宋_GB2312"/>
          <w:color w:val="auto"/>
          <w:sz w:val="32"/>
          <w:szCs w:val="32"/>
          <w:highlight w:val="none"/>
          <w:lang w:eastAsia="zh-CN"/>
        </w:rPr>
        <w:t>制定绩效评价指标体系，指标</w:t>
      </w:r>
      <w:r>
        <w:rPr>
          <w:rFonts w:hint="eastAsia" w:ascii="仿宋_GB2312" w:hAnsi="仿宋_GB2312" w:eastAsia="仿宋_GB2312" w:cs="仿宋_GB2312"/>
          <w:color w:val="auto"/>
          <w:sz w:val="32"/>
          <w:szCs w:val="32"/>
          <w:highlight w:val="none"/>
        </w:rPr>
        <w:t>权重</w:t>
      </w:r>
      <w:r>
        <w:rPr>
          <w:rFonts w:hint="eastAsia" w:ascii="仿宋_GB2312" w:hAnsi="仿宋_GB2312" w:eastAsia="仿宋_GB2312" w:cs="仿宋_GB2312"/>
          <w:color w:val="auto"/>
          <w:sz w:val="32"/>
          <w:szCs w:val="32"/>
          <w:highlight w:val="none"/>
          <w:lang w:eastAsia="zh-CN"/>
        </w:rPr>
        <w:t>占比</w:t>
      </w:r>
      <w:r>
        <w:rPr>
          <w:rFonts w:hint="eastAsia" w:ascii="仿宋_GB2312" w:hAnsi="仿宋_GB2312" w:eastAsia="仿宋_GB2312" w:cs="仿宋_GB2312"/>
          <w:color w:val="auto"/>
          <w:sz w:val="32"/>
          <w:szCs w:val="32"/>
          <w:highlight w:val="none"/>
          <w:lang w:val="en-US" w:eastAsia="zh-CN"/>
        </w:rPr>
        <w:t>为决策20%、过程20%、产出38%和效益22%。</w:t>
      </w:r>
    </w:p>
    <w:p>
      <w:pPr>
        <w:pStyle w:val="17"/>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（1）项目决策情况。包括项目立项、绩效目标和资金投入3个二级指标，重点关注项目立项前期论证是否充分、立项程序是否规范；绩效目标是否合理、明确；预算编制是否科学；资金分配是否合理。</w:t>
      </w:r>
    </w:p>
    <w:p>
      <w:pPr>
        <w:pStyle w:val="17"/>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（2）项目过程情况。包括资金管理和组织实施2个二级指标，重点关注资金使用情况；项目开展落实、信息记录、过程监管情况；政府采购管理；绩效管理情况。</w:t>
      </w:r>
    </w:p>
    <w:p>
      <w:pPr>
        <w:pStyle w:val="17"/>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eastAsia="仿宋_GB2312" w:cs="Times New Roman"/>
          <w:color w:val="auto"/>
          <w:sz w:val="32"/>
          <w:szCs w:val="32"/>
          <w:highlight w:val="none"/>
          <w:lang w:val="en-US" w:eastAsia="zh-CN"/>
        </w:rPr>
      </w:pPr>
      <w:r>
        <w:rPr>
          <w:rFonts w:hint="eastAsia" w:ascii="仿宋_GB2312" w:eastAsia="仿宋_GB2312"/>
          <w:color w:val="auto"/>
          <w:sz w:val="32"/>
          <w:szCs w:val="32"/>
          <w:highlight w:val="none"/>
          <w:lang w:val="en-US" w:eastAsia="zh-CN"/>
        </w:rPr>
        <w:t>（3）</w:t>
      </w:r>
      <w:r>
        <w:rPr>
          <w:rFonts w:hint="eastAsia" w:ascii="仿宋_GB2312" w:hAnsi="Times New Roman" w:eastAsia="仿宋_GB2312" w:cs="Times New Roman"/>
          <w:color w:val="auto"/>
          <w:sz w:val="32"/>
          <w:szCs w:val="32"/>
          <w:highlight w:val="none"/>
          <w:lang w:val="en-US" w:eastAsia="zh-CN"/>
        </w:rPr>
        <w:t>项目产出情况。</w:t>
      </w:r>
      <w:r>
        <w:rPr>
          <w:rFonts w:hint="eastAsia" w:ascii="仿宋_GB2312" w:eastAsia="仿宋_GB2312" w:cs="Times New Roman"/>
          <w:color w:val="auto"/>
          <w:sz w:val="32"/>
          <w:szCs w:val="32"/>
          <w:highlight w:val="none"/>
          <w:lang w:val="en-US" w:eastAsia="zh-CN"/>
        </w:rPr>
        <w:t>包括项目产出数量、质量、时效及成本4个二级指标，</w:t>
      </w:r>
      <w:r>
        <w:rPr>
          <w:rFonts w:hint="eastAsia" w:ascii="仿宋_GB2312" w:hAnsi="Times New Roman" w:eastAsia="仿宋_GB2312" w:cs="Times New Roman"/>
          <w:color w:val="auto"/>
          <w:sz w:val="32"/>
          <w:szCs w:val="32"/>
          <w:highlight w:val="none"/>
          <w:lang w:val="en-US" w:eastAsia="zh-CN"/>
        </w:rPr>
        <w:t>重点关注教师培训</w:t>
      </w:r>
      <w:r>
        <w:rPr>
          <w:rFonts w:hint="eastAsia" w:ascii="仿宋_GB2312" w:eastAsia="仿宋_GB2312" w:cs="Times New Roman"/>
          <w:color w:val="auto"/>
          <w:sz w:val="32"/>
          <w:szCs w:val="32"/>
          <w:highlight w:val="none"/>
          <w:lang w:val="en-US" w:eastAsia="zh-CN"/>
        </w:rPr>
        <w:t>工作完成情况、培训出勤情况、培训工作完成时效情况、项目实施过程中成本支出控制情况。</w:t>
      </w:r>
    </w:p>
    <w:p>
      <w:pPr>
        <w:pStyle w:val="17"/>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eastAsia="仿宋_GB2312" w:cs="Times New Roman"/>
          <w:color w:val="auto"/>
          <w:sz w:val="32"/>
          <w:szCs w:val="32"/>
          <w:highlight w:val="none"/>
          <w:lang w:val="en-US" w:eastAsia="zh-CN"/>
        </w:rPr>
        <w:t>（4）项目效益情况。包括社会效益、可持续影响和服务对象满意度3个二级指标，重点关注2024年山东省教育厅举办的山东省特级教师评选等评选活动中青岛市入选人员数量排名、培训需求调研、培训成效评估、名师梯队培养机制落实情况、培训人员和工作室成员的满意度。</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bookmarkStart w:id="0" w:name="_GoBack"/>
      <w:bookmarkEnd w:id="0"/>
      <w:r>
        <w:rPr>
          <w:rFonts w:hint="eastAsia" w:ascii="仿宋_GB2312" w:hAnsi="仿宋_GB2312" w:eastAsia="仿宋_GB2312" w:cs="仿宋_GB2312"/>
          <w:sz w:val="32"/>
          <w:szCs w:val="40"/>
          <w:highlight w:val="none"/>
        </w:rPr>
        <w:t>4.评价标准</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按照</w:t>
      </w:r>
      <w:r>
        <w:rPr>
          <w:rFonts w:hint="eastAsia" w:ascii="仿宋_GB2312" w:hAnsi="仿宋_GB2312" w:eastAsia="仿宋_GB2312" w:cs="仿宋_GB2312"/>
          <w:sz w:val="32"/>
          <w:szCs w:val="40"/>
          <w:highlight w:val="none"/>
        </w:rPr>
        <w:t>《青岛市市级项目支出预算绩效管理结果应用办法》（青财绩〔2023〕5号）</w:t>
      </w:r>
      <w:r>
        <w:rPr>
          <w:rFonts w:hint="eastAsia" w:ascii="仿宋_GB2312" w:hAnsi="仿宋_GB2312" w:eastAsia="仿宋_GB2312" w:cs="仿宋_GB2312"/>
          <w:sz w:val="32"/>
          <w:szCs w:val="40"/>
          <w:highlight w:val="none"/>
          <w:lang w:val="en-US" w:eastAsia="zh-CN"/>
        </w:rPr>
        <w:t>规定</w:t>
      </w:r>
      <w:r>
        <w:rPr>
          <w:rFonts w:hint="eastAsia" w:ascii="仿宋_GB2312" w:hAnsi="仿宋_GB2312" w:eastAsia="仿宋_GB2312" w:cs="仿宋_GB2312"/>
          <w:sz w:val="32"/>
          <w:szCs w:val="40"/>
          <w:highlight w:val="none"/>
        </w:rPr>
        <w:t>，绩效评价等级划分为四档。</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（1）评分90（含）-100分为优；</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（2）评分80（含）-90分为良；</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（3）评分</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0（含）-80分为中；</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（4）评分60以下为差。</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楷体_GB2312" w:hAnsi="楷体_GB2312" w:eastAsia="楷体_GB2312" w:cs="楷体_GB2312"/>
          <w:sz w:val="32"/>
          <w:szCs w:val="40"/>
          <w:highlight w:val="none"/>
          <w:lang w:val="en-US" w:eastAsia="zh-CN"/>
        </w:rPr>
      </w:pPr>
      <w:r>
        <w:rPr>
          <w:rFonts w:hint="eastAsia" w:ascii="楷体_GB2312" w:hAnsi="楷体_GB2312" w:eastAsia="楷体_GB2312" w:cs="楷体_GB2312"/>
          <w:sz w:val="32"/>
          <w:szCs w:val="40"/>
          <w:highlight w:val="none"/>
        </w:rPr>
        <w:t>（三）评价组织实施</w:t>
      </w:r>
      <w:r>
        <w:rPr>
          <w:rFonts w:hint="eastAsia" w:ascii="楷体_GB2312" w:hAnsi="楷体_GB2312" w:eastAsia="楷体_GB2312" w:cs="楷体_GB2312"/>
          <w:sz w:val="32"/>
          <w:szCs w:val="40"/>
          <w:highlight w:val="none"/>
          <w:lang w:eastAsia="zh-CN"/>
        </w:rPr>
        <w:t>、</w:t>
      </w:r>
      <w:r>
        <w:rPr>
          <w:rFonts w:hint="eastAsia" w:ascii="楷体_GB2312" w:hAnsi="楷体_GB2312" w:eastAsia="楷体_GB2312" w:cs="楷体_GB2312"/>
          <w:sz w:val="32"/>
          <w:szCs w:val="40"/>
          <w:highlight w:val="none"/>
        </w:rPr>
        <w:t>评价方法</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1.评价组织实施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（1）前期准备阶段</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5月21日至5月29日</w:t>
      </w:r>
      <w:r>
        <w:rPr>
          <w:rFonts w:hint="eastAsia" w:ascii="仿宋_GB2312" w:hAnsi="仿宋_GB2312" w:eastAsia="仿宋_GB2312" w:cs="仿宋_GB2312"/>
          <w:sz w:val="32"/>
          <w:szCs w:val="40"/>
          <w:highlight w:val="none"/>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与被评价单位进行充分沟通，了解项目的基本信息，收集项目立项文件、预算安排、项目年度目标、管理制度等文件资料；结合项目特点，形成评价工作方案、指标体系、问卷调查及访谈内容等。</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kern w:val="2"/>
          <w:sz w:val="32"/>
          <w:szCs w:val="40"/>
          <w:lang w:val="en-US" w:eastAsia="zh-CN" w:bidi="ar-SA"/>
        </w:rPr>
        <w:t>（2）</w:t>
      </w:r>
      <w:r>
        <w:rPr>
          <w:rFonts w:hint="eastAsia" w:ascii="仿宋_GB2312" w:hAnsi="仿宋_GB2312" w:eastAsia="仿宋_GB2312" w:cs="仿宋_GB2312"/>
          <w:sz w:val="32"/>
          <w:szCs w:val="40"/>
          <w:highlight w:val="none"/>
        </w:rPr>
        <w:t>组织实施阶段</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5月30日至7月3日</w:t>
      </w:r>
      <w:r>
        <w:rPr>
          <w:rFonts w:hint="eastAsia" w:ascii="仿宋_GB2312" w:hAnsi="仿宋_GB2312" w:eastAsia="仿宋_GB2312" w:cs="仿宋_GB2312"/>
          <w:sz w:val="32"/>
          <w:szCs w:val="40"/>
          <w:highlight w:val="none"/>
          <w:lang w:eastAsia="zh-CN"/>
        </w:rPr>
        <w:t>）</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按照工作方案，与被评价单位进行沟通，收集相关数据，并对收集的数据汇总和分析。在收集、整理、分析相关资料基础上，进行现场评价，根据需要进行座谈，进行满意度问卷，做好工作记录，形成工作底稿。</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（3）报告形成阶段</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7月4日至7月31日</w:t>
      </w:r>
      <w:r>
        <w:rPr>
          <w:rFonts w:hint="eastAsia" w:ascii="仿宋_GB2312" w:hAnsi="仿宋_GB2312" w:eastAsia="仿宋_GB2312" w:cs="仿宋_GB2312"/>
          <w:sz w:val="32"/>
          <w:szCs w:val="40"/>
          <w:highlight w:val="none"/>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根据提供的项目资料，召开综合评价会，根据指标体系进行打分评级。根据评价结果</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撰写绩效评价报告，及时征求意见。根据反馈意见修改完善绩效评价报告，并提交最终版报告。</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2.评价方法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 w:eastAsia="仿宋_GB2312" w:cs="仿宋"/>
          <w:sz w:val="32"/>
          <w:szCs w:val="32"/>
        </w:rPr>
      </w:pPr>
      <w:r>
        <w:rPr>
          <w:rFonts w:hint="eastAsia" w:ascii="仿宋_GB2312" w:hAnsi="仿宋_GB2312" w:eastAsia="仿宋_GB2312" w:cs="仿宋_GB2312"/>
          <w:color w:val="auto"/>
          <w:kern w:val="2"/>
          <w:sz w:val="32"/>
          <w:szCs w:val="32"/>
          <w:highlight w:val="none"/>
          <w:lang w:val="en-US" w:eastAsia="zh-CN" w:bidi="ar-SA"/>
        </w:rPr>
        <w:t>本次评价主要采用成本效益法、比较法、因素分析法、公众评判法等方法，对</w:t>
      </w:r>
      <w:r>
        <w:rPr>
          <w:rFonts w:hint="eastAsia" w:ascii="仿宋_GB2312" w:eastAsia="仿宋_GB2312"/>
          <w:sz w:val="32"/>
          <w:szCs w:val="32"/>
          <w:lang w:val="en-US" w:eastAsia="zh-CN"/>
        </w:rPr>
        <w:t>2024年度</w:t>
      </w:r>
      <w:r>
        <w:rPr>
          <w:rFonts w:hint="eastAsia" w:ascii="仿宋_GB2312" w:eastAsia="仿宋_GB2312"/>
          <w:color w:val="auto"/>
          <w:sz w:val="32"/>
          <w:szCs w:val="32"/>
          <w:highlight w:val="none"/>
          <w:lang w:val="en-US" w:eastAsia="zh-CN"/>
        </w:rPr>
        <w:t>教师素质提升项目</w:t>
      </w:r>
      <w:r>
        <w:rPr>
          <w:rFonts w:hint="eastAsia" w:ascii="仿宋_GB2312" w:eastAsia="仿宋_GB2312"/>
          <w:sz w:val="32"/>
          <w:szCs w:val="32"/>
          <w:lang w:val="en-US" w:eastAsia="zh-CN"/>
        </w:rPr>
        <w:t>预算</w:t>
      </w:r>
      <w:r>
        <w:rPr>
          <w:rFonts w:hint="eastAsia" w:ascii="仿宋_GB2312" w:hAnsi="仿宋_GB2312" w:eastAsia="仿宋_GB2312" w:cs="仿宋_GB2312"/>
          <w:color w:val="auto"/>
          <w:kern w:val="2"/>
          <w:sz w:val="32"/>
          <w:szCs w:val="32"/>
          <w:highlight w:val="none"/>
          <w:lang w:val="en-US" w:eastAsia="zh-CN" w:bidi="ar-SA"/>
        </w:rPr>
        <w:t>资金实施效果进行综合分析评价。根据项目特点，主要采取现场抽查和社会调查的方式开展。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成本效益法。通过将一定时期内的支出所产生的效益与付出的成本进行对比分析，从而评价</w:t>
      </w:r>
      <w:r>
        <w:rPr>
          <w:rFonts w:hint="eastAsia" w:ascii="仿宋_GB2312" w:hAnsi="仿宋" w:eastAsia="仿宋_GB2312" w:cs="仿宋"/>
          <w:sz w:val="32"/>
          <w:szCs w:val="32"/>
          <w:lang w:val="en-US" w:eastAsia="zh-CN"/>
        </w:rPr>
        <w:t>项目支出</w:t>
      </w:r>
      <w:r>
        <w:rPr>
          <w:rFonts w:hint="eastAsia" w:ascii="仿宋_GB2312" w:hAnsi="仿宋" w:eastAsia="仿宋_GB2312" w:cs="仿宋"/>
          <w:sz w:val="32"/>
          <w:szCs w:val="32"/>
        </w:rPr>
        <w:t>绩效的方法。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比较法。通过对绩效目标与实施效果、</w:t>
      </w:r>
      <w:r>
        <w:rPr>
          <w:rFonts w:hint="eastAsia" w:ascii="仿宋_GB2312" w:hAnsi="仿宋" w:eastAsia="仿宋_GB2312" w:cs="仿宋"/>
          <w:sz w:val="32"/>
          <w:szCs w:val="32"/>
          <w:lang w:val="en-US" w:eastAsia="zh-CN"/>
        </w:rPr>
        <w:t>计划</w:t>
      </w:r>
      <w:r>
        <w:rPr>
          <w:rFonts w:hint="eastAsia" w:ascii="仿宋_GB2312" w:hAnsi="仿宋" w:eastAsia="仿宋_GB2312" w:cs="仿宋"/>
          <w:sz w:val="32"/>
          <w:szCs w:val="32"/>
        </w:rPr>
        <w:t>与</w:t>
      </w:r>
      <w:r>
        <w:rPr>
          <w:rFonts w:hint="eastAsia" w:ascii="仿宋_GB2312" w:hAnsi="仿宋" w:eastAsia="仿宋_GB2312" w:cs="仿宋"/>
          <w:sz w:val="32"/>
          <w:szCs w:val="32"/>
          <w:lang w:val="en-US" w:eastAsia="zh-CN"/>
        </w:rPr>
        <w:t>实施</w:t>
      </w:r>
      <w:r>
        <w:rPr>
          <w:rFonts w:hint="eastAsia" w:ascii="仿宋_GB2312" w:hAnsi="仿宋" w:eastAsia="仿宋_GB2312" w:cs="仿宋"/>
          <w:sz w:val="32"/>
          <w:szCs w:val="32"/>
        </w:rPr>
        <w:t>情况的比较，综合分析绩效目标实现程度。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因素分析法。通过综合分析影响绩效目标实现、实施效果的内外因素，评价绩效目标实现程度；通过列举所有影响成本与收益的因素，进行综合分析，从而得出评价结果的方法。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公众评判法。是指通过专家评估、公众问卷及抽样调查等方式对预算支出绩效情况进行评价。</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黑体" w:hAnsi="黑体" w:eastAsia="黑体" w:cs="黑体"/>
          <w:sz w:val="32"/>
          <w:szCs w:val="40"/>
          <w:highlight w:val="none"/>
        </w:rPr>
      </w:pPr>
      <w:r>
        <w:rPr>
          <w:rFonts w:hint="eastAsia" w:ascii="黑体" w:hAnsi="黑体" w:eastAsia="黑体" w:cs="黑体"/>
          <w:sz w:val="32"/>
          <w:szCs w:val="40"/>
          <w:highlight w:val="none"/>
        </w:rPr>
        <w:t>三、评价结论及分析</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（一）综合评价结论</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仿宋_GB2312" w:hAnsi="仿宋_GB2312" w:eastAsia="仿宋_GB2312" w:cs="仿宋_GB2312"/>
          <w:color w:val="FF0000"/>
          <w:sz w:val="32"/>
          <w:szCs w:val="40"/>
          <w:highlight w:val="yellow"/>
          <w:lang w:val="en-US" w:eastAsia="zh-CN"/>
        </w:rPr>
      </w:pPr>
      <w:r>
        <w:rPr>
          <w:rFonts w:hint="eastAsia" w:ascii="仿宋_GB2312" w:hAnsi="仿宋_GB2312" w:eastAsia="仿宋_GB2312" w:cs="仿宋_GB2312"/>
          <w:color w:val="auto"/>
          <w:sz w:val="32"/>
          <w:szCs w:val="40"/>
          <w:highlight w:val="none"/>
        </w:rPr>
        <w:t>该项目绩效评价得分</w:t>
      </w:r>
      <w:r>
        <w:rPr>
          <w:rFonts w:hint="eastAsia" w:ascii="仿宋_GB2312" w:hAnsi="仿宋_GB2312" w:eastAsia="仿宋_GB2312" w:cs="仿宋_GB2312"/>
          <w:color w:val="auto"/>
          <w:sz w:val="32"/>
          <w:szCs w:val="40"/>
          <w:highlight w:val="none"/>
          <w:lang w:val="en-US" w:eastAsia="zh-CN"/>
        </w:rPr>
        <w:t>80.36</w:t>
      </w:r>
      <w:r>
        <w:rPr>
          <w:rFonts w:hint="eastAsia" w:ascii="仿宋_GB2312" w:hAnsi="仿宋_GB2312" w:eastAsia="仿宋_GB2312" w:cs="仿宋_GB2312"/>
          <w:color w:val="auto"/>
          <w:sz w:val="32"/>
          <w:szCs w:val="40"/>
          <w:highlight w:val="none"/>
        </w:rPr>
        <w:t>分，评价结果为“</w:t>
      </w:r>
      <w:r>
        <w:rPr>
          <w:rFonts w:hint="eastAsia" w:ascii="仿宋_GB2312" w:hAnsi="仿宋_GB2312" w:eastAsia="仿宋_GB2312" w:cs="仿宋_GB2312"/>
          <w:color w:val="auto"/>
          <w:sz w:val="32"/>
          <w:szCs w:val="40"/>
          <w:highlight w:val="none"/>
          <w:lang w:val="en-US" w:eastAsia="zh-CN"/>
        </w:rPr>
        <w:t>良</w:t>
      </w:r>
      <w:r>
        <w:rPr>
          <w:rFonts w:hint="eastAsia" w:ascii="仿宋_GB2312" w:hAnsi="仿宋_GB2312" w:eastAsia="仿宋_GB2312" w:cs="仿宋_GB2312"/>
          <w:color w:val="auto"/>
          <w:sz w:val="32"/>
          <w:szCs w:val="40"/>
          <w:highlight w:val="none"/>
        </w:rPr>
        <w:t>”。</w:t>
      </w:r>
      <w:r>
        <w:rPr>
          <w:rFonts w:hint="eastAsia" w:ascii="仿宋_GB2312" w:hAnsi="仿宋_GB2312" w:eastAsia="仿宋_GB2312" w:cs="仿宋_GB2312"/>
          <w:color w:val="auto"/>
          <w:sz w:val="32"/>
          <w:szCs w:val="40"/>
          <w:highlight w:val="none"/>
          <w:lang w:val="en-US" w:eastAsia="zh-CN"/>
        </w:rPr>
        <w:t>项目</w:t>
      </w:r>
      <w:r>
        <w:rPr>
          <w:rFonts w:hint="eastAsia" w:ascii="仿宋_GB2312" w:hAnsi="仿宋_GB2312" w:eastAsia="仿宋_GB2312" w:cs="仿宋_GB2312"/>
          <w:color w:val="auto"/>
          <w:sz w:val="32"/>
          <w:szCs w:val="40"/>
          <w:highlight w:val="none"/>
        </w:rPr>
        <w:t>202</w:t>
      </w:r>
      <w:r>
        <w:rPr>
          <w:rFonts w:hint="eastAsia" w:ascii="仿宋_GB2312" w:hAnsi="仿宋_GB2312" w:eastAsia="仿宋_GB2312" w:cs="仿宋_GB2312"/>
          <w:color w:val="auto"/>
          <w:sz w:val="32"/>
          <w:szCs w:val="40"/>
          <w:highlight w:val="none"/>
          <w:lang w:val="en-US" w:eastAsia="zh-CN"/>
        </w:rPr>
        <w:t>4</w:t>
      </w:r>
      <w:r>
        <w:rPr>
          <w:rFonts w:hint="eastAsia" w:ascii="仿宋_GB2312" w:hAnsi="仿宋_GB2312" w:eastAsia="仿宋_GB2312" w:cs="仿宋_GB2312"/>
          <w:color w:val="auto"/>
          <w:sz w:val="32"/>
          <w:szCs w:val="40"/>
          <w:highlight w:val="none"/>
        </w:rPr>
        <w:t>年</w:t>
      </w:r>
      <w:r>
        <w:rPr>
          <w:rFonts w:hint="eastAsia" w:ascii="仿宋_GB2312" w:hAnsi="仿宋_GB2312" w:eastAsia="仿宋_GB2312" w:cs="仿宋_GB2312"/>
          <w:color w:val="auto"/>
          <w:sz w:val="32"/>
          <w:szCs w:val="40"/>
          <w:highlight w:val="none"/>
          <w:lang w:val="en-US" w:eastAsia="zh-CN"/>
        </w:rPr>
        <w:t>度培训干部教师共计8866人次</w:t>
      </w:r>
      <w:r>
        <w:rPr>
          <w:rFonts w:hint="eastAsia" w:ascii="仿宋_GB2312" w:hAnsi="仿宋_GB2312" w:eastAsia="仿宋_GB2312" w:cs="仿宋_GB2312"/>
          <w:color w:val="auto"/>
          <w:sz w:val="32"/>
          <w:szCs w:val="40"/>
          <w:highlight w:val="none"/>
        </w:rPr>
        <w:t>，</w:t>
      </w:r>
      <w:r>
        <w:rPr>
          <w:rFonts w:hint="eastAsia" w:ascii="仿宋_GB2312" w:hAnsi="仿宋_GB2312" w:eastAsia="仿宋_GB2312" w:cs="仿宋_GB2312"/>
          <w:color w:val="auto"/>
          <w:sz w:val="32"/>
          <w:szCs w:val="40"/>
          <w:highlight w:val="none"/>
          <w:lang w:val="en-US" w:eastAsia="zh-CN"/>
        </w:rPr>
        <w:t>按标准补助工作室63个，</w:t>
      </w:r>
      <w:r>
        <w:rPr>
          <w:rFonts w:hint="eastAsia" w:ascii="仿宋_GB2312" w:hAnsi="仿宋_GB2312" w:eastAsia="仿宋_GB2312" w:cs="仿宋_GB2312"/>
          <w:color w:val="auto"/>
          <w:sz w:val="32"/>
          <w:szCs w:val="40"/>
          <w:highlight w:val="none"/>
        </w:rPr>
        <w:t>通过开展</w:t>
      </w:r>
      <w:r>
        <w:rPr>
          <w:rFonts w:hint="eastAsia" w:ascii="仿宋_GB2312" w:hAnsi="仿宋_GB2312" w:eastAsia="仿宋_GB2312" w:cs="仿宋_GB2312"/>
          <w:color w:val="auto"/>
          <w:sz w:val="32"/>
          <w:szCs w:val="40"/>
          <w:highlight w:val="none"/>
          <w:lang w:val="en-US" w:eastAsia="zh-CN"/>
        </w:rPr>
        <w:t>培训</w:t>
      </w:r>
      <w:r>
        <w:rPr>
          <w:rFonts w:hint="eastAsia" w:ascii="仿宋_GB2312" w:hAnsi="仿宋_GB2312" w:eastAsia="仿宋_GB2312" w:cs="仿宋_GB2312"/>
          <w:color w:val="auto"/>
          <w:sz w:val="32"/>
          <w:szCs w:val="40"/>
          <w:highlight w:val="none"/>
        </w:rPr>
        <w:t>，</w:t>
      </w:r>
      <w:r>
        <w:rPr>
          <w:rFonts w:hint="eastAsia" w:ascii="仿宋_GB2312" w:hAnsi="仿宋_GB2312" w:eastAsia="仿宋_GB2312" w:cs="仿宋_GB2312"/>
          <w:color w:val="auto"/>
          <w:sz w:val="32"/>
          <w:szCs w:val="40"/>
          <w:highlight w:val="none"/>
          <w:lang w:val="en-US" w:eastAsia="zh-CN"/>
        </w:rPr>
        <w:t>有效提升</w:t>
      </w:r>
      <w:r>
        <w:rPr>
          <w:rFonts w:hint="eastAsia" w:ascii="仿宋_GB2312" w:hAnsi="仿宋_GB2312" w:eastAsia="仿宋_GB2312" w:cs="仿宋_GB2312"/>
          <w:color w:val="auto"/>
          <w:sz w:val="32"/>
          <w:szCs w:val="40"/>
          <w:highlight w:val="none"/>
        </w:rPr>
        <w:t>干部教师业务素养。但项目实施过程中</w:t>
      </w:r>
      <w:r>
        <w:rPr>
          <w:rFonts w:hint="eastAsia" w:ascii="仿宋_GB2312" w:hAnsi="仿宋_GB2312" w:eastAsia="仿宋_GB2312" w:cs="仿宋_GB2312"/>
          <w:color w:val="auto"/>
          <w:sz w:val="32"/>
          <w:szCs w:val="40"/>
          <w:highlight w:val="none"/>
          <w:lang w:val="en-US" w:eastAsia="zh-CN"/>
        </w:rPr>
        <w:t>仍</w:t>
      </w:r>
      <w:r>
        <w:rPr>
          <w:rFonts w:hint="eastAsia" w:ascii="仿宋_GB2312" w:hAnsi="仿宋_GB2312" w:eastAsia="仿宋_GB2312" w:cs="仿宋_GB2312"/>
          <w:color w:val="auto"/>
          <w:sz w:val="32"/>
          <w:szCs w:val="40"/>
          <w:highlight w:val="none"/>
        </w:rPr>
        <w:t>存在</w:t>
      </w:r>
      <w:r>
        <w:rPr>
          <w:rFonts w:hint="eastAsia" w:ascii="仿宋_GB2312" w:hAnsi="仿宋_GB2312" w:eastAsia="仿宋_GB2312" w:cs="仿宋_GB2312"/>
          <w:color w:val="auto"/>
          <w:sz w:val="32"/>
          <w:szCs w:val="40"/>
          <w:highlight w:val="none"/>
          <w:lang w:val="en-US" w:eastAsia="zh-CN"/>
        </w:rPr>
        <w:t>部分培训项目预算执行率低、导师配备不足、培训考评和成效跟踪工作不到位等问题，需进一步强化绩效监控纠偏、完善考评机制、落实成效跟踪。</w:t>
      </w:r>
    </w:p>
    <w:p>
      <w:pPr>
        <w:spacing w:line="600" w:lineRule="exact"/>
        <w:jc w:val="center"/>
        <w:rPr>
          <w:rFonts w:hint="eastAsia" w:ascii="黑体" w:hAnsi="黑体" w:eastAsia="黑体" w:cs="黑体"/>
          <w:sz w:val="28"/>
          <w:szCs w:val="28"/>
          <w:highlight w:val="none"/>
        </w:rPr>
      </w:pPr>
      <w:r>
        <w:rPr>
          <w:rFonts w:hint="eastAsia" w:ascii="黑体" w:hAnsi="黑体" w:eastAsia="黑体" w:cs="黑体"/>
          <w:sz w:val="28"/>
          <w:szCs w:val="28"/>
          <w:highlight w:val="none"/>
          <w:lang w:val="en-US" w:eastAsia="zh-CN"/>
        </w:rPr>
        <w:t>表4 教师素质提升</w:t>
      </w:r>
      <w:r>
        <w:rPr>
          <w:rFonts w:hint="eastAsia" w:ascii="黑体" w:hAnsi="黑体" w:eastAsia="黑体" w:cs="黑体"/>
          <w:sz w:val="28"/>
          <w:szCs w:val="28"/>
          <w:highlight w:val="none"/>
        </w:rPr>
        <w:t>项目绩效评价得分情况表</w:t>
      </w:r>
    </w:p>
    <w:tbl>
      <w:tblPr>
        <w:tblStyle w:val="13"/>
        <w:tblW w:w="8349"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exact"/>
        </w:trPr>
        <w:tc>
          <w:tcPr>
            <w:tcW w:w="2087" w:type="dxa"/>
          </w:tcPr>
          <w:p>
            <w:pPr>
              <w:spacing w:line="600" w:lineRule="exact"/>
              <w:jc w:val="center"/>
              <w:rPr>
                <w:rFonts w:ascii="黑体" w:hAnsi="黑体" w:eastAsia="黑体" w:cs="黑体"/>
                <w:sz w:val="28"/>
                <w:szCs w:val="28"/>
                <w:highlight w:val="none"/>
              </w:rPr>
            </w:pPr>
            <w:r>
              <w:rPr>
                <w:rFonts w:hint="eastAsia" w:ascii="黑体" w:hAnsi="黑体" w:eastAsia="黑体" w:cs="黑体"/>
                <w:sz w:val="28"/>
                <w:szCs w:val="28"/>
                <w:highlight w:val="none"/>
              </w:rPr>
              <w:t>一级指标</w:t>
            </w:r>
          </w:p>
        </w:tc>
        <w:tc>
          <w:tcPr>
            <w:tcW w:w="2087" w:type="dxa"/>
          </w:tcPr>
          <w:p>
            <w:pPr>
              <w:spacing w:line="600" w:lineRule="exact"/>
              <w:jc w:val="center"/>
              <w:rPr>
                <w:rFonts w:ascii="黑体" w:hAnsi="黑体" w:eastAsia="黑体" w:cs="黑体"/>
                <w:sz w:val="28"/>
                <w:szCs w:val="28"/>
                <w:highlight w:val="none"/>
              </w:rPr>
            </w:pPr>
            <w:r>
              <w:rPr>
                <w:rFonts w:hint="eastAsia" w:ascii="黑体" w:hAnsi="黑体" w:eastAsia="黑体" w:cs="黑体"/>
                <w:sz w:val="28"/>
                <w:szCs w:val="28"/>
                <w:highlight w:val="none"/>
              </w:rPr>
              <w:t>指标分值</w:t>
            </w:r>
          </w:p>
        </w:tc>
        <w:tc>
          <w:tcPr>
            <w:tcW w:w="2087" w:type="dxa"/>
          </w:tcPr>
          <w:p>
            <w:pPr>
              <w:spacing w:line="600" w:lineRule="exact"/>
              <w:jc w:val="center"/>
              <w:rPr>
                <w:rFonts w:ascii="黑体" w:hAnsi="黑体" w:eastAsia="黑体" w:cs="黑体"/>
                <w:sz w:val="28"/>
                <w:szCs w:val="28"/>
                <w:highlight w:val="none"/>
              </w:rPr>
            </w:pPr>
            <w:r>
              <w:rPr>
                <w:rFonts w:hint="eastAsia" w:ascii="黑体" w:hAnsi="黑体" w:eastAsia="黑体" w:cs="黑体"/>
                <w:sz w:val="28"/>
                <w:szCs w:val="28"/>
                <w:highlight w:val="none"/>
              </w:rPr>
              <w:t>得分</w:t>
            </w:r>
          </w:p>
        </w:tc>
        <w:tc>
          <w:tcPr>
            <w:tcW w:w="2088" w:type="dxa"/>
          </w:tcPr>
          <w:p>
            <w:pPr>
              <w:spacing w:line="600" w:lineRule="exact"/>
              <w:jc w:val="center"/>
              <w:rPr>
                <w:rFonts w:ascii="黑体" w:hAnsi="黑体" w:eastAsia="黑体" w:cs="黑体"/>
                <w:sz w:val="28"/>
                <w:szCs w:val="28"/>
                <w:highlight w:val="none"/>
              </w:rPr>
            </w:pPr>
            <w:r>
              <w:rPr>
                <w:rFonts w:hint="eastAsia" w:ascii="黑体" w:hAnsi="黑体" w:eastAsia="黑体" w:cs="黑体"/>
                <w:sz w:val="28"/>
                <w:szCs w:val="28"/>
                <w:highlight w:val="none"/>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087" w:type="dxa"/>
            <w:vAlign w:val="center"/>
          </w:tcPr>
          <w:p>
            <w:pPr>
              <w:widowControl/>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决策</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20</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19</w:t>
            </w:r>
          </w:p>
        </w:tc>
        <w:tc>
          <w:tcPr>
            <w:tcW w:w="2088"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087" w:type="dxa"/>
            <w:vAlign w:val="center"/>
          </w:tcPr>
          <w:p>
            <w:pPr>
              <w:widowControl/>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过程</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20</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11.3</w:t>
            </w:r>
          </w:p>
        </w:tc>
        <w:tc>
          <w:tcPr>
            <w:tcW w:w="2088"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087" w:type="dxa"/>
            <w:vAlign w:val="center"/>
          </w:tcPr>
          <w:p>
            <w:pPr>
              <w:widowControl/>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产出</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38</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30.06</w:t>
            </w:r>
          </w:p>
        </w:tc>
        <w:tc>
          <w:tcPr>
            <w:tcW w:w="2088"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79.11%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087" w:type="dxa"/>
            <w:vAlign w:val="center"/>
          </w:tcPr>
          <w:p>
            <w:pPr>
              <w:widowControl/>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效益</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22</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20</w:t>
            </w:r>
          </w:p>
        </w:tc>
        <w:tc>
          <w:tcPr>
            <w:tcW w:w="2088"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90.91%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087" w:type="dxa"/>
            <w:vAlign w:val="center"/>
          </w:tcPr>
          <w:p>
            <w:pPr>
              <w:widowControl/>
              <w:jc w:val="center"/>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lang w:val="en-US" w:eastAsia="zh-CN"/>
              </w:rPr>
              <w:t>合计</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100</w:t>
            </w:r>
          </w:p>
        </w:tc>
        <w:tc>
          <w:tcPr>
            <w:tcW w:w="2087"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80.36</w:t>
            </w:r>
          </w:p>
        </w:tc>
        <w:tc>
          <w:tcPr>
            <w:tcW w:w="2088" w:type="dxa"/>
            <w:vAlign w:val="center"/>
          </w:tcPr>
          <w:p>
            <w:pPr>
              <w:widowControl/>
              <w:jc w:val="center"/>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4"/>
                <w:highlight w:val="none"/>
                <w:lang w:val="en-US" w:eastAsia="zh-CN"/>
              </w:rPr>
              <w:t>80.36%</w:t>
            </w:r>
          </w:p>
        </w:tc>
      </w:tr>
    </w:tbl>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（二）指标分析</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1.决策指标分析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教师素质提升项目是依据教育部等八部门关于印发《新时代基础教育强师计划》的通知（教师〔2022〕6号）、市教育局等3部门《全面推进中小学教师队伍梯队建设的实施意见》（青教通字〔2022〕78号）等政策文件设立，项目与部门职责相符，属于部门履职所需；属于公共财政支持范围，符合中央、地方事权支出责任划分原则。但存在个别绩效指标设置不规范的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2.过程指标分析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市教育局制定了《关于实施青年教师“菁英计划”培养工程的通知》（青教通字〔2023〕27号）、《青岛市家庭教育名师工作室建设标准与管理办法》（青教通字〔2023〕83号）、《青岛市名班主任工作室章程（试行）》等制度，平度师范（教培中心）制定了《培训专家库管理办法》《培训班学员管理制度》等制度。但存在</w:t>
      </w:r>
      <w:r>
        <w:rPr>
          <w:rFonts w:hint="eastAsia" w:ascii="仿宋_GB2312" w:hAnsi="仿宋" w:eastAsia="仿宋_GB2312" w:cs="仿宋"/>
          <w:color w:val="auto"/>
          <w:sz w:val="32"/>
          <w:szCs w:val="32"/>
          <w:lang w:val="en-US" w:eastAsia="zh-CN"/>
        </w:rPr>
        <w:t>预算执行率偏低、</w:t>
      </w:r>
      <w:r>
        <w:rPr>
          <w:rFonts w:hint="eastAsia" w:ascii="仿宋_GB2312" w:hAnsi="仿宋" w:eastAsia="仿宋_GB2312" w:cs="仿宋"/>
          <w:color w:val="auto"/>
          <w:sz w:val="32"/>
          <w:szCs w:val="32"/>
          <w:highlight w:val="none"/>
          <w:lang w:val="en-US" w:eastAsia="zh-CN"/>
        </w:rPr>
        <w:t>资金使用不规范</w:t>
      </w:r>
      <w:r>
        <w:rPr>
          <w:rFonts w:hint="eastAsia" w:ascii="仿宋_GB2312" w:hAnsi="仿宋" w:eastAsia="仿宋_GB2312" w:cs="仿宋"/>
          <w:sz w:val="32"/>
          <w:szCs w:val="32"/>
          <w:highlight w:val="none"/>
          <w:lang w:val="en-US" w:eastAsia="zh-CN"/>
        </w:rPr>
        <w:t>、工作室</w:t>
      </w:r>
      <w:r>
        <w:rPr>
          <w:rFonts w:hint="eastAsia" w:ascii="仿宋_GB2312" w:hAnsi="仿宋" w:eastAsia="仿宋_GB2312" w:cs="仿宋"/>
          <w:sz w:val="32"/>
          <w:szCs w:val="32"/>
          <w:lang w:val="en-US" w:eastAsia="zh-CN"/>
        </w:rPr>
        <w:t>过程管理及考核机制不健全、导师配备不到位等情况。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3.产出指标分析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项目2024全年培训干部教师8866人次，完成补助工作室63个，其中：国家教学名师培育工作室5个、齐鲁名师培育工作室6个、青岛名师培育工作室16个、名校长领航工作室9个、名班主任工作室18个、家庭教育名师工作室9个。但存在培养人数低于计划人数（计划人数10500人、培养人数8866人、相差1634人）、未按标准拨付31个工作室补助经费的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4.效益指标分析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项目建立了名师梯队培养机制、培训需求调研机制、培训成效的评估跟踪机制。在山东省教育厅2024年举办的山东省特级教师、齐鲁教育名家等评选中青岛市获奖人数排名为全省第一；对1520名培训学员开展满意度调查，调查结果显示满意度达到97.34%；对459名工作室成员开展满意度调查，调查结果显示满意度达到96.52%。但存在培训成效跟踪落实不到位的情况。</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sz w:val="32"/>
          <w:szCs w:val="40"/>
          <w:highlight w:val="none"/>
        </w:rPr>
      </w:pPr>
      <w:r>
        <w:rPr>
          <w:rFonts w:hint="eastAsia" w:ascii="黑体" w:hAnsi="黑体" w:eastAsia="黑体" w:cs="黑体"/>
          <w:sz w:val="32"/>
          <w:szCs w:val="40"/>
          <w:highlight w:val="none"/>
        </w:rPr>
        <w:t>四、项目实施成效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2024年山东省平度师范学校（青岛市中小学教师培训中心）培训开展频率达到1.67次/周，全年计划培训9000人，实际培训8262人次；第五期名师培养工程于2024年12月组织实施公开招标，但未组织开展培训；“菁英计划”首期和二期共计划培养优秀青年教师1200人，已完成首期培养目标604人；补助工作室目标数量94个，实际按标准补助63个；63个工作室均属于2023年期间市教育局认定的市级工作室范围，受补助工作室资质符合率达到100%；对1520名培训学员开展满意度调查，调查结果显示学员满意度达到97.34%。通过开展教师培训、工作室研修以及多层次教师群体的培养，有效推进高素质专业化创新型教师队伍建设。</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黑体" w:hAnsi="黑体" w:eastAsia="黑体" w:cs="黑体"/>
          <w:color w:val="auto"/>
          <w:sz w:val="32"/>
          <w:szCs w:val="40"/>
          <w:highlight w:val="none"/>
        </w:rPr>
      </w:pPr>
      <w:r>
        <w:rPr>
          <w:rFonts w:hint="eastAsia" w:ascii="黑体" w:hAnsi="黑体" w:eastAsia="黑体" w:cs="黑体"/>
          <w:color w:val="auto"/>
          <w:sz w:val="32"/>
          <w:szCs w:val="40"/>
          <w:highlight w:val="none"/>
        </w:rPr>
        <w:t>五、发现的问题及原因分析</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楷体_GB2312" w:hAnsi="楷体_GB2312" w:eastAsia="楷体_GB2312" w:cs="楷体_GB2312"/>
          <w:color w:val="auto"/>
          <w:sz w:val="32"/>
          <w:szCs w:val="40"/>
          <w:highlight w:val="none"/>
          <w:lang w:eastAsia="zh-CN"/>
        </w:rPr>
      </w:pPr>
      <w:r>
        <w:rPr>
          <w:rFonts w:hint="eastAsia" w:ascii="楷体_GB2312" w:hAnsi="楷体_GB2312" w:eastAsia="楷体_GB2312" w:cs="楷体_GB2312"/>
          <w:color w:val="auto"/>
          <w:sz w:val="32"/>
          <w:szCs w:val="40"/>
          <w:highlight w:val="none"/>
        </w:rPr>
        <w:t>（一）青年教师“菁英计划”项目存在未履行政府采购程序</w:t>
      </w:r>
      <w:r>
        <w:rPr>
          <w:rFonts w:hint="eastAsia" w:ascii="楷体_GB2312" w:hAnsi="楷体_GB2312" w:eastAsia="楷体_GB2312" w:cs="楷体_GB2312"/>
          <w:color w:val="auto"/>
          <w:sz w:val="32"/>
          <w:szCs w:val="40"/>
          <w:highlight w:val="none"/>
          <w:lang w:eastAsia="zh-CN"/>
        </w:rPr>
        <w:t>、</w:t>
      </w:r>
      <w:r>
        <w:rPr>
          <w:rFonts w:hint="eastAsia" w:ascii="楷体_GB2312" w:hAnsi="楷体_GB2312" w:eastAsia="楷体_GB2312" w:cs="楷体_GB2312"/>
          <w:color w:val="auto"/>
          <w:sz w:val="32"/>
          <w:szCs w:val="40"/>
          <w:highlight w:val="none"/>
        </w:rPr>
        <w:t>导师配备不到位</w:t>
      </w:r>
      <w:r>
        <w:rPr>
          <w:rFonts w:hint="eastAsia" w:ascii="楷体_GB2312" w:hAnsi="楷体_GB2312" w:eastAsia="楷体_GB2312" w:cs="楷体_GB2312"/>
          <w:color w:val="auto"/>
          <w:sz w:val="32"/>
          <w:szCs w:val="40"/>
          <w:highlight w:val="none"/>
          <w:lang w:val="en-US" w:eastAsia="zh-CN"/>
        </w:rPr>
        <w:t>等</w:t>
      </w:r>
      <w:r>
        <w:rPr>
          <w:rFonts w:hint="eastAsia" w:ascii="楷体_GB2312" w:hAnsi="楷体_GB2312" w:eastAsia="楷体_GB2312" w:cs="楷体_GB2312"/>
          <w:color w:val="auto"/>
          <w:sz w:val="32"/>
          <w:szCs w:val="40"/>
          <w:highlight w:val="none"/>
        </w:rPr>
        <w:t>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一是未履行政府采购程序。市教育局分别于2023年、2024年将首期“菁英计划”合同（3年*150万元/年，合同金额450万元）、二期“菁英计划”合同（3年*180万元/年，合同金额540万元）培训服务直接委托青岛大学实施。合同金额已达到青岛市财政局印发的《青岛市政府集中采购目录及标准（2023年版）》《青岛市政府集中采购目录及标准（2024年版）》规定公开招标限额（服务400万元），未进行政府公开招标。该项目不属于单一来源采购的适用范围，不能采取直接委托方式，并且服务限额超过400万。按照政府采购相关规定需经财政部门批准，该项目未提报财政部门审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二是导师配备不到位。根据《关于实施青年教师“菁英计划”培养工程的通知》（青教通字〔2023〕27号）规定，应按照1:5的比例做好导师配备。首期“菁英计划”导师资质信息表列示的导师人数为98人，实际培训人数为604人，导师配备比例为1:6.16，不符合规定比例1:5。</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三是实际培养人数低于目标人数。项目绩效目标中设置的产出指标是优秀青年教师重点培养人数≥1200人。青岛大学提供的《“菁英计划”学习情况汇总表》显示首期实际参与培训人数为604人。但在《青岛市青年教师“菁英计划”培养工程工作简报》中显示，第二期“菁英计划”于2025年1月16日启动，2024年度未开展学员培训工作。2024年度计划培养人数1200人，实际培养人数604人，产出绩效指标未完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（二）第五期名师培养工程项目存在2024年未组织开展培训工作，预算执行率为0的情况。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根据《2024年教师素质提升项目可行性分析》显示，2024年该项目计划开展第五期青岛名师培养工程，择优遴选300名优秀青年骨干教师，重点培养三年。项目绩效目标中设置的产出指标是第五期青岛名师培养工程培养人数≥300人。该项目实际于2024年12月组织公开招标，2025年1月组织开展学员遴选，之后才陆续开展相关工作。2024年度未开展相应培训工作，项目预算资金200万元未执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（三）工作室研修项目存在全过程管理及考核机制不足、补助资金拨付不到位的情况。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一是工作室全过程管理及考核机制不足。未建立国家教学名师培育工作室、齐鲁名师培育工作室、青岛名师培育工作室、名校长领航工作室全过程管理和阶段考核办法，导致工作室的活动计划、执行、记录缺乏有效监督和评估，例如2023年7月遴选青岛富源路小学为名校长领航工作室承办单位，2024年期间该工作室组织成员参加了3次双月论坛及市北区校长培训班学习，未开展其他辐射带动工作。工作室活动质量、深度和有效性难以保证。</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二是工作室补助资金拨付不到位。2024年计划补助工作室94个，实际按标准补助工作室63个，未按标准补助工作室31个（含胶州市未足额拨付的工作室6个）。详见下表5所示：</w:t>
      </w:r>
    </w:p>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表5 工作室补助资金拨付明细表</w:t>
      </w:r>
    </w:p>
    <w:tbl>
      <w:tblPr>
        <w:tblStyle w:val="13"/>
        <w:tblW w:w="86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5"/>
        <w:gridCol w:w="1073"/>
        <w:gridCol w:w="1443"/>
        <w:gridCol w:w="1122"/>
        <w:gridCol w:w="1213"/>
        <w:gridCol w:w="1213"/>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Merge w:val="restart"/>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项目</w:t>
            </w:r>
          </w:p>
        </w:tc>
        <w:tc>
          <w:tcPr>
            <w:tcW w:w="2516" w:type="dxa"/>
            <w:gridSpan w:val="2"/>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计划补助工作室</w:t>
            </w:r>
          </w:p>
        </w:tc>
        <w:tc>
          <w:tcPr>
            <w:tcW w:w="2335" w:type="dxa"/>
            <w:gridSpan w:val="2"/>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实际补助工作室</w:t>
            </w:r>
          </w:p>
        </w:tc>
        <w:tc>
          <w:tcPr>
            <w:tcW w:w="2242" w:type="dxa"/>
            <w:gridSpan w:val="2"/>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Merge w:val="continue"/>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数量</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金额</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数量</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金额</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数量</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u w:val="none"/>
                <w:lang w:val="en-US" w:eastAsia="zh-CN" w:bidi="ar"/>
              </w:rPr>
            </w:pPr>
            <w:r>
              <w:rPr>
                <w:rFonts w:hint="eastAsia" w:ascii="仿宋_GB2312" w:hAnsi="宋体" w:eastAsia="仿宋_GB2312" w:cs="仿宋_GB2312"/>
                <w:b/>
                <w:bCs/>
                <w:i w:val="0"/>
                <w:iCs w:val="0"/>
                <w:color w:val="auto"/>
                <w:kern w:val="0"/>
                <w:sz w:val="21"/>
                <w:szCs w:val="21"/>
                <w:u w:val="none"/>
                <w:lang w:val="en-US" w:eastAsia="zh-CN" w:bidi="ar"/>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市属学校</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29</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160</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29</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160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市南区</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9</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60</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9</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市北区</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10</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60</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崂山区</w:t>
            </w:r>
          </w:p>
        </w:tc>
        <w:tc>
          <w:tcPr>
            <w:tcW w:w="107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c>
          <w:tcPr>
            <w:tcW w:w="144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25</w:t>
            </w:r>
          </w:p>
        </w:tc>
        <w:tc>
          <w:tcPr>
            <w:tcW w:w="1122"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25</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02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西海岸新区</w:t>
            </w:r>
          </w:p>
        </w:tc>
        <w:tc>
          <w:tcPr>
            <w:tcW w:w="107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13</w:t>
            </w:r>
          </w:p>
        </w:tc>
        <w:tc>
          <w:tcPr>
            <w:tcW w:w="144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90</w:t>
            </w:r>
          </w:p>
        </w:tc>
        <w:tc>
          <w:tcPr>
            <w:tcW w:w="1122"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10</w:t>
            </w:r>
          </w:p>
        </w:tc>
        <w:tc>
          <w:tcPr>
            <w:tcW w:w="121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65</w:t>
            </w:r>
          </w:p>
        </w:tc>
        <w:tc>
          <w:tcPr>
            <w:tcW w:w="121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3</w:t>
            </w:r>
          </w:p>
        </w:tc>
        <w:tc>
          <w:tcPr>
            <w:tcW w:w="1029"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胶州市</w:t>
            </w:r>
          </w:p>
        </w:tc>
        <w:tc>
          <w:tcPr>
            <w:tcW w:w="107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w:t>
            </w:r>
          </w:p>
        </w:tc>
        <w:tc>
          <w:tcPr>
            <w:tcW w:w="144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30</w:t>
            </w:r>
          </w:p>
        </w:tc>
        <w:tc>
          <w:tcPr>
            <w:tcW w:w="1122"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12</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w:t>
            </w:r>
          </w:p>
        </w:tc>
        <w:tc>
          <w:tcPr>
            <w:tcW w:w="102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李沧区</w:t>
            </w:r>
          </w:p>
        </w:tc>
        <w:tc>
          <w:tcPr>
            <w:tcW w:w="107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c>
          <w:tcPr>
            <w:tcW w:w="144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25</w:t>
            </w:r>
          </w:p>
        </w:tc>
        <w:tc>
          <w:tcPr>
            <w:tcW w:w="1122"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c>
          <w:tcPr>
            <w:tcW w:w="1029" w:type="dxa"/>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城阳区</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45</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即墨区</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8</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40</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8</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平度市</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10</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莱西市</w:t>
            </w:r>
          </w:p>
        </w:tc>
        <w:tc>
          <w:tcPr>
            <w:tcW w:w="107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w:t>
            </w:r>
          </w:p>
        </w:tc>
        <w:tc>
          <w:tcPr>
            <w:tcW w:w="144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c>
          <w:tcPr>
            <w:tcW w:w="1122"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0</w:t>
            </w:r>
          </w:p>
        </w:tc>
        <w:tc>
          <w:tcPr>
            <w:tcW w:w="12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w:t>
            </w:r>
          </w:p>
        </w:tc>
        <w:tc>
          <w:tcPr>
            <w:tcW w:w="102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95"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合  计</w:t>
            </w:r>
          </w:p>
        </w:tc>
        <w:tc>
          <w:tcPr>
            <w:tcW w:w="107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94</w:t>
            </w:r>
          </w:p>
        </w:tc>
        <w:tc>
          <w:tcPr>
            <w:tcW w:w="144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550</w:t>
            </w:r>
          </w:p>
        </w:tc>
        <w:tc>
          <w:tcPr>
            <w:tcW w:w="1122"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69</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382</w:t>
            </w:r>
          </w:p>
        </w:tc>
        <w:tc>
          <w:tcPr>
            <w:tcW w:w="12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31</w:t>
            </w:r>
          </w:p>
        </w:tc>
        <w:tc>
          <w:tcPr>
            <w:tcW w:w="102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168</w:t>
            </w:r>
          </w:p>
        </w:tc>
      </w:tr>
    </w:tbl>
    <w:p>
      <w:pPr>
        <w:keepNext w:val="0"/>
        <w:keepLines w:val="0"/>
        <w:widowControl/>
        <w:suppressLineNumbers w:val="0"/>
        <w:jc w:val="left"/>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注：胶州市均按照2万元/个标准拨付6个工作室补助经费。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（四）其他培训项目存在预算执行率低、培训考评及成效跟踪工作落实不到位、项目资金使用不规范情况。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一是预算执行率偏低，未完成培训项目计划数量。2024年度预算安排1725万元，实际支出1306.91万元，预算执行率75.76%。项目绩效目标设置的培训人数≥9000人，实际培训人数8262人，未完成名校长赴知名高校开展专题研修培训，另有学校校本培训改革试点培训等15个子项目实际培训人数未达到计划人数，详见下表6所示：</w:t>
      </w:r>
    </w:p>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表6 培训人数明细表</w:t>
      </w:r>
    </w:p>
    <w:tbl>
      <w:tblPr>
        <w:tblStyle w:val="13"/>
        <w:tblW w:w="8941"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705"/>
        <w:gridCol w:w="4664"/>
        <w:gridCol w:w="939"/>
        <w:gridCol w:w="900"/>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分类</w:t>
            </w: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序号</w:t>
            </w:r>
          </w:p>
        </w:tc>
        <w:tc>
          <w:tcPr>
            <w:tcW w:w="4664"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项目</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计划培</w:t>
            </w:r>
          </w:p>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养人数</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实际培</w:t>
            </w:r>
          </w:p>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养人数</w:t>
            </w:r>
          </w:p>
        </w:tc>
        <w:tc>
          <w:tcPr>
            <w:tcW w:w="813"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b/>
                <w:bCs/>
                <w:i w:val="0"/>
                <w:iCs w:val="0"/>
                <w:color w:val="auto"/>
                <w:kern w:val="0"/>
                <w:sz w:val="21"/>
                <w:szCs w:val="21"/>
                <w:highlight w:val="none"/>
                <w:u w:val="none"/>
                <w:lang w:val="en-US" w:eastAsia="zh-CN" w:bidi="ar"/>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未开展</w:t>
            </w: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1</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名校长赴知名高校开展专题研修培训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180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0</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kern w:val="0"/>
                <w:sz w:val="21"/>
                <w:szCs w:val="21"/>
                <w:highlight w:val="none"/>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restart"/>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培训人数未达到目标人数</w:t>
            </w: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局属单位新教师五年跟踪培训项目</w:t>
            </w:r>
          </w:p>
        </w:tc>
        <w:tc>
          <w:tcPr>
            <w:tcW w:w="93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540</w:t>
            </w:r>
          </w:p>
        </w:tc>
        <w:tc>
          <w:tcPr>
            <w:tcW w:w="900"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484</w:t>
            </w:r>
          </w:p>
        </w:tc>
        <w:tc>
          <w:tcPr>
            <w:tcW w:w="8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新一轮全市中小学骨干教师培训项目第二年</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740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625</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名师工作室梯队研修培养</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136</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99</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骨干校（园）长高级研修</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120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89</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分管心理健康教育副校长专题培训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83</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强镇筑基镇校园长专题培训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150</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人工智能骨干教师培训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156</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局管学校消防设施操作员培训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78</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74</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学校校本培训改革试点培训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486</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11</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局属财务人员专题培训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172</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12</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2024年青岛市中小学艺术骨干教师培训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92</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2024年青岛市特殊教育培训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160</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14</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新中考新高考培训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1920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1914</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骨干教师教育评价测量与考试命题培训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450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108</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中小学校骨干校医培训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156</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restart"/>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培训人数已达到目标人数</w:t>
            </w: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远程研修及教师培训管理系统优化提升项目培训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246</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954</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18</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心理教师赴高校培训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168</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教师校长数字素养提升专题培训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809</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中小学教师科研工作站研修</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372</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21</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普通高中骨干教师赴名校跟岗实践</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273</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22</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省公费师范生实习支教及集中培训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94</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23</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强镇筑基镇骨干教师素质提升培训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152</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24</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强镇筑基镇教师英语专题培训</w:t>
            </w:r>
          </w:p>
        </w:tc>
        <w:tc>
          <w:tcPr>
            <w:tcW w:w="939"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100</w:t>
            </w:r>
          </w:p>
        </w:tc>
        <w:tc>
          <w:tcPr>
            <w:tcW w:w="900"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100</w:t>
            </w:r>
          </w:p>
        </w:tc>
        <w:tc>
          <w:tcPr>
            <w:tcW w:w="813"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25</w:t>
            </w:r>
          </w:p>
        </w:tc>
        <w:tc>
          <w:tcPr>
            <w:tcW w:w="4664"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高中校长任职资格培训</w:t>
            </w:r>
          </w:p>
        </w:tc>
        <w:tc>
          <w:tcPr>
            <w:tcW w:w="93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150</w:t>
            </w:r>
          </w:p>
        </w:tc>
        <w:tc>
          <w:tcPr>
            <w:tcW w:w="900"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166</w:t>
            </w:r>
          </w:p>
        </w:tc>
        <w:tc>
          <w:tcPr>
            <w:tcW w:w="8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0" w:type="dxa"/>
            <w:vMerge w:val="continue"/>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705"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26</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校（园）长能力提升培训</w:t>
            </w:r>
          </w:p>
        </w:tc>
        <w:tc>
          <w:tcPr>
            <w:tcW w:w="93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200</w:t>
            </w:r>
          </w:p>
        </w:tc>
        <w:tc>
          <w:tcPr>
            <w:tcW w:w="900"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326</w:t>
            </w:r>
          </w:p>
        </w:tc>
        <w:tc>
          <w:tcPr>
            <w:tcW w:w="8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1625" w:type="dxa"/>
            <w:gridSpan w:val="2"/>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b w:val="0"/>
                <w:bCs w:val="0"/>
                <w:i w:val="0"/>
                <w:iCs w:val="0"/>
                <w:color w:val="auto"/>
                <w:kern w:val="0"/>
                <w:sz w:val="21"/>
                <w:szCs w:val="21"/>
                <w:u w:val="none"/>
                <w:lang w:val="en-US" w:eastAsia="zh-CN" w:bidi="ar"/>
              </w:rPr>
              <w:t>合  计</w:t>
            </w:r>
          </w:p>
        </w:tc>
        <w:tc>
          <w:tcPr>
            <w:tcW w:w="4664" w:type="dxa"/>
            <w:vAlign w:val="center"/>
          </w:tcPr>
          <w:p>
            <w:pPr>
              <w:keepNext w:val="0"/>
              <w:keepLines w:val="0"/>
              <w:widowControl/>
              <w:suppressLineNumbers w:val="0"/>
              <w:jc w:val="center"/>
              <w:textAlignment w:val="center"/>
              <w:rPr>
                <w:rFonts w:hint="eastAsia" w:ascii="仿宋_GB2312" w:hAnsi="宋体" w:eastAsia="仿宋_GB2312" w:cs="仿宋_GB2312"/>
                <w:b w:val="0"/>
                <w:bCs w:val="0"/>
                <w:i w:val="0"/>
                <w:iCs w:val="0"/>
                <w:color w:val="auto"/>
                <w:kern w:val="0"/>
                <w:sz w:val="21"/>
                <w:szCs w:val="21"/>
                <w:u w:val="none"/>
                <w:lang w:val="en-US" w:eastAsia="zh-CN" w:bidi="ar"/>
              </w:rPr>
            </w:pPr>
          </w:p>
        </w:tc>
        <w:tc>
          <w:tcPr>
            <w:tcW w:w="939"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9000</w:t>
            </w:r>
          </w:p>
        </w:tc>
        <w:tc>
          <w:tcPr>
            <w:tcW w:w="900"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8262</w:t>
            </w:r>
          </w:p>
        </w:tc>
        <w:tc>
          <w:tcPr>
            <w:tcW w:w="813" w:type="dxa"/>
            <w:vAlign w:val="center"/>
          </w:tcPr>
          <w:p>
            <w:pPr>
              <w:keepNext w:val="0"/>
              <w:keepLines w:val="0"/>
              <w:widowControl/>
              <w:suppressLineNumbers w:val="0"/>
              <w:jc w:val="center"/>
              <w:textAlignment w:val="center"/>
              <w:rPr>
                <w:rFonts w:hint="default" w:ascii="仿宋_GB2312" w:hAnsi="宋体" w:eastAsia="仿宋_GB2312" w:cs="仿宋_GB2312"/>
                <w:b w:val="0"/>
                <w:bCs w:val="0"/>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-738</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二是培训考评、成效评估跟踪及档案管理工作落实不到位。现场评价发现培训考勤多为手工签字，且存在考勤表缺少序号、划线涂改的情况，致使考勤人数难以统计核实；现场评价发现短期培训的考核方式，多为按培训出勤时长登记学分，无法掌握学员通过培训实际学到什么、掌握什么技能、参与活动的质量如何等培训效果情况；《培训班学员管理制度》第四条规定培训结束后三个月内参训学员提交培训实践与思考的文章、培训结束后一年提交本年度的教育教学成果。资金使用部门（单位）未提供2024年度组织的各项培训完整的评估跟踪统计文件及佐证；现场评价发现档案管理工作落实不到位，例如2024年12月组织的中小学班主任校本培训专家及中小学班主任培训，档案中缺少学员学籍管理表、培训总结等关键性材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三是项目资金使用不规范。在教师素质提升项目支出预算中列支单位采暖费、保安费、宣传费等共192.65万元,例如2024年10月0072号凭证，列支单位采暖费40万元；2024年12月0054号凭证，列支保安费5.52万元；2024年12月0061号凭证，列支宣传费8万元，以上费用列支均不属于该项目规定用途的支出范围。</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color w:val="auto"/>
          <w:sz w:val="32"/>
          <w:szCs w:val="40"/>
          <w:highlight w:val="none"/>
        </w:rPr>
      </w:pPr>
      <w:r>
        <w:rPr>
          <w:rFonts w:hint="eastAsia" w:ascii="黑体" w:hAnsi="黑体" w:eastAsia="黑体" w:cs="黑体"/>
          <w:color w:val="auto"/>
          <w:sz w:val="32"/>
          <w:szCs w:val="40"/>
          <w:highlight w:val="none"/>
        </w:rPr>
        <w:t>六、相关建议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（一）规范采购程序、强化项目执行管控、落实项目过程监督。</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一是建议资金使用部门（单位）规范政府采购流程，强化日常监督检查，严格履行政府采购程序，加强采购教育培训，提高法律意识和专业素养，推进依法采购、规范采购，确保财政资金得到合理使用。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二是建议资金使用部门（单位）落实项目过程监督工作职责，将导师队伍建设、培养学员数量、学员年度考核结果列为“菁英计划”协议年度验收重要指标。建立考核时间表与责任清单，提高监督工作的准确性与可靠性。严抓全过程质量监控，切实保障学员培养质量。</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kern w:val="2"/>
          <w:sz w:val="32"/>
          <w:szCs w:val="40"/>
          <w:lang w:val="en-US" w:eastAsia="zh-CN" w:bidi="ar-SA"/>
        </w:rPr>
      </w:pPr>
      <w:r>
        <w:rPr>
          <w:rFonts w:hint="eastAsia" w:ascii="楷体_GB2312" w:hAnsi="楷体_GB2312" w:eastAsia="楷体_GB2312" w:cs="楷体_GB2312"/>
          <w:color w:val="auto"/>
          <w:kern w:val="2"/>
          <w:sz w:val="32"/>
          <w:szCs w:val="40"/>
          <w:lang w:val="en-US" w:eastAsia="zh-CN" w:bidi="ar-SA"/>
        </w:rPr>
        <w:t>（二）加强项目前期论证，建立日常绩效监控机制，强化绩效监控纠偏。</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建议资金使用部门（单位）优化项目规划与设计，提前启动准备工作，将培养工作分解至月度，增设季度进度督办节点，对绩效目标实现程度和预算执行进度进行“双监控”，定期采集项目绩效信息，动态掌握政策和项目资金进展，对监控中发现与既定绩效目标发生偏离的，及时采取措施予以纠正，促进绩效目标如期实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outlineLvl w:val="0"/>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（三）分类制定工作室管理办法和年度考核实施细则，加强统筹协调，确保资金及时拨付。</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建议资金使用部门（单位）按照国家教学名师培育工作室、齐鲁名师培育工作室、青岛名师培育工作室、名校长领航工作室的工作目标，分类制定工作室全过程管理办法和年度考核实施细则。明确名师工作室运行机制及测评指标体系，指标体系可涵盖教学比赛、课题研究、专业技能提升等，通过多维度的数据资料收集，对工作室成果进行科学合理的评估。充分调动工作室主持人及成员的积极性，促进工作室成员专业水平的提高。加强统筹协调，严格按照转移支付预算科目和项目执行资金，及时将工作室补助资金拨付到位，提高资金使用效益。</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楷体_GB2312" w:hAnsi="楷体_GB2312" w:eastAsia="楷体_GB2312" w:cs="楷体_GB2312"/>
          <w:color w:val="auto"/>
          <w:sz w:val="32"/>
          <w:szCs w:val="40"/>
          <w:highlight w:val="none"/>
          <w:lang w:val="en-US" w:eastAsia="zh-CN"/>
        </w:rPr>
      </w:pPr>
      <w:r>
        <w:rPr>
          <w:rFonts w:hint="eastAsia" w:ascii="楷体_GB2312" w:hAnsi="楷体_GB2312" w:eastAsia="楷体_GB2312" w:cs="楷体_GB2312"/>
          <w:color w:val="auto"/>
          <w:sz w:val="32"/>
          <w:szCs w:val="40"/>
          <w:highlight w:val="none"/>
          <w:lang w:val="en-US" w:eastAsia="zh-CN"/>
        </w:rPr>
        <w:t>（四）以需定培、推进智慧考评体系建设、强化培训档案管理、按照规定支出用途“专款专用”、严格资金支出管理、科学合理编制预算。</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lang w:val="en-US" w:eastAsia="zh-CN"/>
        </w:rPr>
        <w:t>一</w:t>
      </w:r>
      <w:r>
        <w:rPr>
          <w:rFonts w:hint="eastAsia" w:ascii="仿宋_GB2312" w:hAnsi="仿宋_GB2312" w:eastAsia="仿宋_GB2312" w:cs="仿宋_GB2312"/>
          <w:color w:val="auto"/>
          <w:sz w:val="32"/>
          <w:szCs w:val="40"/>
          <w:highlight w:val="none"/>
        </w:rPr>
        <w:t>是建议</w:t>
      </w:r>
      <w:r>
        <w:rPr>
          <w:rFonts w:hint="eastAsia" w:ascii="仿宋_GB2312" w:hAnsi="仿宋" w:eastAsia="仿宋_GB2312" w:cs="仿宋"/>
          <w:color w:val="auto"/>
          <w:sz w:val="32"/>
          <w:szCs w:val="32"/>
          <w:lang w:val="en-US" w:eastAsia="zh-CN"/>
        </w:rPr>
        <w:t>资金使用部门（单位）</w:t>
      </w:r>
      <w:r>
        <w:rPr>
          <w:rFonts w:hint="eastAsia" w:ascii="仿宋_GB2312" w:hAnsi="仿宋_GB2312" w:eastAsia="仿宋_GB2312" w:cs="仿宋_GB2312"/>
          <w:color w:val="auto"/>
          <w:sz w:val="32"/>
          <w:szCs w:val="40"/>
          <w:highlight w:val="none"/>
        </w:rPr>
        <w:t>按期制定发布年度培训计划，统筹推进各项培训工作。提高培训计划的可操作性、可实施性，同时探索更高效、更实用的线上线下融合培训模式，在推进线下培训的基础上，提高线上培训质效。完善计划调整程序</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及时根据培训需求与实际培训情况，调整培训班次</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培训对象、培训方式等，在此基础上加快项目实施，提高资金使用效益。</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lang w:val="en-US" w:eastAsia="zh-CN"/>
        </w:rPr>
        <w:t>二</w:t>
      </w:r>
      <w:r>
        <w:rPr>
          <w:rFonts w:hint="eastAsia" w:ascii="仿宋_GB2312" w:hAnsi="仿宋_GB2312" w:eastAsia="仿宋_GB2312" w:cs="仿宋_GB2312"/>
          <w:color w:val="auto"/>
          <w:sz w:val="32"/>
          <w:szCs w:val="40"/>
          <w:highlight w:val="none"/>
        </w:rPr>
        <w:t>是建议</w:t>
      </w:r>
      <w:r>
        <w:rPr>
          <w:rFonts w:hint="eastAsia" w:ascii="仿宋_GB2312" w:hAnsi="仿宋" w:eastAsia="仿宋_GB2312" w:cs="仿宋"/>
          <w:color w:val="auto"/>
          <w:sz w:val="32"/>
          <w:szCs w:val="32"/>
          <w:lang w:val="en-US" w:eastAsia="zh-CN"/>
        </w:rPr>
        <w:t>资金使用部门（单位）</w:t>
      </w:r>
      <w:r>
        <w:rPr>
          <w:rFonts w:hint="eastAsia" w:ascii="仿宋_GB2312" w:hAnsi="仿宋_GB2312" w:eastAsia="仿宋_GB2312" w:cs="仿宋_GB2312"/>
          <w:color w:val="auto"/>
          <w:sz w:val="32"/>
          <w:szCs w:val="40"/>
          <w:highlight w:val="none"/>
        </w:rPr>
        <w:t>推进智慧考评体系建设。结合人工智能、大数据技术，构建标准化培训模式与测评指标体系，</w:t>
      </w:r>
      <w:r>
        <w:rPr>
          <w:rFonts w:hint="eastAsia" w:ascii="仿宋_GB2312" w:hAnsi="仿宋_GB2312" w:eastAsia="仿宋_GB2312" w:cs="仿宋_GB2312"/>
          <w:color w:val="auto"/>
          <w:sz w:val="32"/>
          <w:szCs w:val="40"/>
          <w:highlight w:val="none"/>
          <w:lang w:val="en-US" w:eastAsia="zh-CN"/>
        </w:rPr>
        <w:t>根据长期培训与短期培训的特性，分类</w:t>
      </w:r>
      <w:r>
        <w:rPr>
          <w:rFonts w:hint="eastAsia" w:ascii="仿宋_GB2312" w:hAnsi="仿宋_GB2312" w:eastAsia="仿宋_GB2312" w:cs="仿宋_GB2312"/>
          <w:color w:val="auto"/>
          <w:sz w:val="32"/>
          <w:szCs w:val="40"/>
          <w:highlight w:val="none"/>
        </w:rPr>
        <w:t>系统化开展学员训前测评、培训过程检测、培训结束</w:t>
      </w:r>
      <w:r>
        <w:rPr>
          <w:rFonts w:hint="eastAsia" w:ascii="仿宋_GB2312" w:hAnsi="仿宋_GB2312" w:eastAsia="仿宋_GB2312" w:cs="仿宋_GB2312"/>
          <w:color w:val="auto"/>
          <w:sz w:val="32"/>
          <w:szCs w:val="40"/>
          <w:highlight w:val="none"/>
          <w:lang w:val="en-US" w:eastAsia="zh-CN"/>
        </w:rPr>
        <w:t>考核</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培训成效的</w:t>
      </w:r>
      <w:r>
        <w:rPr>
          <w:rFonts w:hint="eastAsia" w:ascii="仿宋_GB2312" w:hAnsi="仿宋_GB2312" w:eastAsia="仿宋_GB2312" w:cs="仿宋_GB2312"/>
          <w:color w:val="auto"/>
          <w:sz w:val="32"/>
          <w:szCs w:val="40"/>
          <w:highlight w:val="none"/>
          <w:lang w:eastAsia="zh-CN"/>
        </w:rPr>
        <w:t>跟踪</w:t>
      </w:r>
      <w:r>
        <w:rPr>
          <w:rFonts w:hint="eastAsia" w:ascii="仿宋_GB2312" w:hAnsi="仿宋_GB2312" w:eastAsia="仿宋_GB2312" w:cs="仿宋_GB2312"/>
          <w:color w:val="auto"/>
          <w:sz w:val="32"/>
          <w:szCs w:val="40"/>
          <w:highlight w:val="none"/>
        </w:rPr>
        <w:t>，提升培训质量评估的实效性</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明确档案管理责任分工</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制定档案必备材料清单及质量标准，设计清晰的培训档案管理流程</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定期开展培训档案审核，确保其真实性和完整性。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lang w:val="en-US" w:eastAsia="zh-CN"/>
        </w:rPr>
        <w:t>三</w:t>
      </w:r>
      <w:r>
        <w:rPr>
          <w:rFonts w:hint="eastAsia" w:ascii="仿宋_GB2312" w:hAnsi="仿宋_GB2312" w:eastAsia="仿宋_GB2312" w:cs="仿宋_GB2312"/>
          <w:color w:val="auto"/>
          <w:sz w:val="32"/>
          <w:szCs w:val="40"/>
          <w:highlight w:val="none"/>
        </w:rPr>
        <w:t>是建议</w:t>
      </w:r>
      <w:r>
        <w:rPr>
          <w:rFonts w:hint="eastAsia" w:ascii="仿宋_GB2312" w:hAnsi="仿宋" w:eastAsia="仿宋_GB2312" w:cs="仿宋"/>
          <w:color w:val="auto"/>
          <w:sz w:val="32"/>
          <w:szCs w:val="32"/>
          <w:highlight w:val="none"/>
          <w:lang w:val="en-US" w:eastAsia="zh-CN"/>
        </w:rPr>
        <w:t>资金使用部门（单位）</w:t>
      </w:r>
      <w:r>
        <w:rPr>
          <w:rFonts w:hint="eastAsia" w:ascii="仿宋_GB2312" w:hAnsi="仿宋_GB2312" w:eastAsia="仿宋_GB2312" w:cs="仿宋_GB2312"/>
          <w:color w:val="auto"/>
          <w:sz w:val="32"/>
          <w:szCs w:val="40"/>
          <w:highlight w:val="none"/>
        </w:rPr>
        <w:t>强化</w:t>
      </w:r>
      <w:r>
        <w:rPr>
          <w:rFonts w:hint="eastAsia" w:ascii="仿宋_GB2312" w:hAnsi="仿宋_GB2312" w:eastAsia="仿宋_GB2312" w:cs="仿宋_GB2312"/>
          <w:color w:val="auto"/>
          <w:sz w:val="32"/>
          <w:szCs w:val="40"/>
          <w:highlight w:val="none"/>
          <w:lang w:val="en-US" w:eastAsia="zh-CN"/>
        </w:rPr>
        <w:t>支出</w:t>
      </w:r>
      <w:r>
        <w:rPr>
          <w:rFonts w:hint="eastAsia" w:ascii="仿宋_GB2312" w:hAnsi="仿宋_GB2312" w:eastAsia="仿宋_GB2312" w:cs="仿宋_GB2312"/>
          <w:color w:val="auto"/>
          <w:sz w:val="32"/>
          <w:szCs w:val="40"/>
          <w:highlight w:val="none"/>
        </w:rPr>
        <w:t>监督检查，以检查促规范，</w:t>
      </w:r>
      <w:r>
        <w:rPr>
          <w:rFonts w:hint="eastAsia" w:ascii="仿宋_GB2312" w:hAnsi="仿宋_GB2312" w:eastAsia="仿宋_GB2312" w:cs="仿宋_GB2312"/>
          <w:color w:val="auto"/>
          <w:sz w:val="32"/>
          <w:szCs w:val="40"/>
          <w:highlight w:val="none"/>
          <w:lang w:val="en-US" w:eastAsia="zh-CN"/>
        </w:rPr>
        <w:t>优化预算安排，严控支出范围，从严、从紧、从实科学合理编制预算，</w:t>
      </w:r>
      <w:r>
        <w:rPr>
          <w:rFonts w:hint="eastAsia" w:ascii="仿宋_GB2312" w:hAnsi="仿宋_GB2312" w:eastAsia="仿宋_GB2312" w:cs="仿宋_GB2312"/>
          <w:color w:val="auto"/>
          <w:sz w:val="32"/>
          <w:szCs w:val="40"/>
          <w:highlight w:val="none"/>
        </w:rPr>
        <w:t>将保障正常运转的必要支出</w:t>
      </w:r>
      <w:r>
        <w:rPr>
          <w:rFonts w:hint="eastAsia" w:ascii="仿宋_GB2312" w:hAnsi="仿宋_GB2312" w:eastAsia="仿宋_GB2312" w:cs="仿宋_GB2312"/>
          <w:color w:val="auto"/>
          <w:sz w:val="32"/>
          <w:szCs w:val="40"/>
          <w:highlight w:val="none"/>
          <w:lang w:val="en-US" w:eastAsia="zh-CN"/>
        </w:rPr>
        <w:t>单列</w:t>
      </w:r>
      <w:r>
        <w:rPr>
          <w:rFonts w:hint="eastAsia" w:ascii="仿宋_GB2312" w:hAnsi="仿宋_GB2312" w:eastAsia="仿宋_GB2312" w:cs="仿宋_GB2312"/>
          <w:color w:val="auto"/>
          <w:sz w:val="32"/>
          <w:szCs w:val="40"/>
          <w:highlight w:val="none"/>
        </w:rPr>
        <w:t>预算，严格按照预算规定的支出用途使用资金。</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color w:val="auto"/>
          <w:sz w:val="32"/>
          <w:szCs w:val="40"/>
          <w:highlight w:val="none"/>
        </w:rPr>
      </w:pPr>
    </w:p>
    <w:p>
      <w:pPr>
        <w:keepNext w:val="0"/>
        <w:keepLines w:val="0"/>
        <w:pageBreakBefore w:val="0"/>
        <w:widowControl w:val="0"/>
        <w:kinsoku/>
        <w:wordWrap/>
        <w:overflowPunct/>
        <w:topLinePunct w:val="0"/>
        <w:autoSpaceDE/>
        <w:autoSpaceDN/>
        <w:bidi w:val="0"/>
        <w:spacing w:line="600" w:lineRule="exact"/>
        <w:ind w:firstLine="1600" w:firstLineChars="500"/>
        <w:textAlignment w:val="auto"/>
        <w:rPr>
          <w:rFonts w:hint="default" w:ascii="仿宋_GB2312" w:hAnsi="仿宋_GB2312" w:eastAsia="仿宋_GB2312" w:cs="仿宋_GB2312"/>
          <w:color w:val="auto"/>
          <w:sz w:val="32"/>
          <w:szCs w:val="40"/>
          <w:highlight w:val="none"/>
          <w:lang w:val="en-US" w:eastAsia="zh-CN"/>
        </w:rPr>
      </w:pPr>
    </w:p>
    <w:sectPr>
      <w:footerReference r:id="rId3" w:type="default"/>
      <w:pgSz w:w="11906" w:h="16838"/>
      <w:pgMar w:top="2041" w:right="1701" w:bottom="2041" w:left="1701" w:header="851" w:footer="1361" w:gutter="0"/>
      <w:pgBorders>
        <w:top w:val="none" w:sz="0" w:space="0"/>
        <w:left w:val="none" w:sz="0" w:space="0"/>
        <w:bottom w:val="none" w:sz="0" w:space="0"/>
        <w:right w:val="none" w:sz="0" w:space="0"/>
      </w:pgBorders>
      <w:pgNumType w:fmt="decimal" w:start="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Microsoft YaHei UI"/>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8C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00022FF" w:usb1="C000205B" w:usb2="00000009" w:usb3="00000000" w:csb0="200001DF" w:csb1="2008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21272E"/>
    <w:rsid w:val="0021272E"/>
    <w:rsid w:val="00243C1C"/>
    <w:rsid w:val="008C071A"/>
    <w:rsid w:val="009F7C6C"/>
    <w:rsid w:val="00BC757B"/>
    <w:rsid w:val="00C339C4"/>
    <w:rsid w:val="00D328CE"/>
    <w:rsid w:val="01455A42"/>
    <w:rsid w:val="01D94A0C"/>
    <w:rsid w:val="01DB7ED5"/>
    <w:rsid w:val="02E9307F"/>
    <w:rsid w:val="030A0A72"/>
    <w:rsid w:val="03545836"/>
    <w:rsid w:val="0373620A"/>
    <w:rsid w:val="03D83F85"/>
    <w:rsid w:val="04464DA1"/>
    <w:rsid w:val="04467040"/>
    <w:rsid w:val="0451447E"/>
    <w:rsid w:val="045B27D8"/>
    <w:rsid w:val="04836179"/>
    <w:rsid w:val="04874344"/>
    <w:rsid w:val="04877EA0"/>
    <w:rsid w:val="054C7DEB"/>
    <w:rsid w:val="05AF1B60"/>
    <w:rsid w:val="05EF3111"/>
    <w:rsid w:val="06A8466F"/>
    <w:rsid w:val="06BA630B"/>
    <w:rsid w:val="06F9011A"/>
    <w:rsid w:val="07260C60"/>
    <w:rsid w:val="07797F74"/>
    <w:rsid w:val="07DD1B2D"/>
    <w:rsid w:val="081D7713"/>
    <w:rsid w:val="08485B98"/>
    <w:rsid w:val="08625F30"/>
    <w:rsid w:val="08660312"/>
    <w:rsid w:val="08782A49"/>
    <w:rsid w:val="08862702"/>
    <w:rsid w:val="08CB596A"/>
    <w:rsid w:val="08EE6740"/>
    <w:rsid w:val="09D27E0F"/>
    <w:rsid w:val="0A73026D"/>
    <w:rsid w:val="0A9E7CF1"/>
    <w:rsid w:val="0ACF3715"/>
    <w:rsid w:val="0AD32091"/>
    <w:rsid w:val="0B3D5440"/>
    <w:rsid w:val="0BA07177"/>
    <w:rsid w:val="0C874EE1"/>
    <w:rsid w:val="0CA21D1B"/>
    <w:rsid w:val="0CF12B59"/>
    <w:rsid w:val="0D35196A"/>
    <w:rsid w:val="0D562B05"/>
    <w:rsid w:val="0EA35DC8"/>
    <w:rsid w:val="0EE70967"/>
    <w:rsid w:val="0F0C4D22"/>
    <w:rsid w:val="0F1C7638"/>
    <w:rsid w:val="0F275C39"/>
    <w:rsid w:val="0F7013DA"/>
    <w:rsid w:val="0FEF6A7E"/>
    <w:rsid w:val="10302F3B"/>
    <w:rsid w:val="105146E8"/>
    <w:rsid w:val="10534422"/>
    <w:rsid w:val="106A3C74"/>
    <w:rsid w:val="109776BD"/>
    <w:rsid w:val="10AC0EB3"/>
    <w:rsid w:val="116006F3"/>
    <w:rsid w:val="1169092A"/>
    <w:rsid w:val="11CE42C7"/>
    <w:rsid w:val="11FB4122"/>
    <w:rsid w:val="126A1858"/>
    <w:rsid w:val="12C24CBD"/>
    <w:rsid w:val="12D77EA0"/>
    <w:rsid w:val="12E85257"/>
    <w:rsid w:val="13272F7A"/>
    <w:rsid w:val="136B5021"/>
    <w:rsid w:val="137F578F"/>
    <w:rsid w:val="138D0F00"/>
    <w:rsid w:val="13E23345"/>
    <w:rsid w:val="13FA4410"/>
    <w:rsid w:val="145204CA"/>
    <w:rsid w:val="1461776C"/>
    <w:rsid w:val="14A90919"/>
    <w:rsid w:val="14C842E9"/>
    <w:rsid w:val="14CB5B87"/>
    <w:rsid w:val="156A6C7D"/>
    <w:rsid w:val="15D13671"/>
    <w:rsid w:val="16043E5C"/>
    <w:rsid w:val="17166D9B"/>
    <w:rsid w:val="17242B35"/>
    <w:rsid w:val="17D962EE"/>
    <w:rsid w:val="17EF3C37"/>
    <w:rsid w:val="181F7418"/>
    <w:rsid w:val="186C142F"/>
    <w:rsid w:val="18CB084B"/>
    <w:rsid w:val="19067AD5"/>
    <w:rsid w:val="199D5E77"/>
    <w:rsid w:val="19EF056A"/>
    <w:rsid w:val="19EF2318"/>
    <w:rsid w:val="1A262DA7"/>
    <w:rsid w:val="1AAB436E"/>
    <w:rsid w:val="1AE07EE3"/>
    <w:rsid w:val="1AE25CC7"/>
    <w:rsid w:val="1B22706E"/>
    <w:rsid w:val="1B4318B7"/>
    <w:rsid w:val="1B9E5DA3"/>
    <w:rsid w:val="1B9F26B9"/>
    <w:rsid w:val="1BB4423A"/>
    <w:rsid w:val="1BE22134"/>
    <w:rsid w:val="1C006A5E"/>
    <w:rsid w:val="1C2B486D"/>
    <w:rsid w:val="1C4E1577"/>
    <w:rsid w:val="1CB763CB"/>
    <w:rsid w:val="1CFC0F25"/>
    <w:rsid w:val="1D4B1D72"/>
    <w:rsid w:val="1D5036C6"/>
    <w:rsid w:val="1D665076"/>
    <w:rsid w:val="1DD844A0"/>
    <w:rsid w:val="1DE50360"/>
    <w:rsid w:val="1E1730EC"/>
    <w:rsid w:val="1E5D3CF4"/>
    <w:rsid w:val="1E7E58C5"/>
    <w:rsid w:val="1EA044C3"/>
    <w:rsid w:val="1F525822"/>
    <w:rsid w:val="1FC128ED"/>
    <w:rsid w:val="1FFC2EAD"/>
    <w:rsid w:val="200F6826"/>
    <w:rsid w:val="208A783B"/>
    <w:rsid w:val="213A031C"/>
    <w:rsid w:val="21410299"/>
    <w:rsid w:val="218E05B6"/>
    <w:rsid w:val="21A701B7"/>
    <w:rsid w:val="21EE7F72"/>
    <w:rsid w:val="21FA7AAB"/>
    <w:rsid w:val="2243177A"/>
    <w:rsid w:val="22A91B2C"/>
    <w:rsid w:val="2304679B"/>
    <w:rsid w:val="23495BE6"/>
    <w:rsid w:val="238916A4"/>
    <w:rsid w:val="23A03C41"/>
    <w:rsid w:val="23F22901"/>
    <w:rsid w:val="23FC5F73"/>
    <w:rsid w:val="24286B52"/>
    <w:rsid w:val="246A1A10"/>
    <w:rsid w:val="246D27B7"/>
    <w:rsid w:val="24EA3E14"/>
    <w:rsid w:val="25396B3D"/>
    <w:rsid w:val="25867323"/>
    <w:rsid w:val="259048CC"/>
    <w:rsid w:val="2600110B"/>
    <w:rsid w:val="26F02C86"/>
    <w:rsid w:val="272356CA"/>
    <w:rsid w:val="2751538D"/>
    <w:rsid w:val="27682660"/>
    <w:rsid w:val="27935170"/>
    <w:rsid w:val="27CE7A10"/>
    <w:rsid w:val="281731DB"/>
    <w:rsid w:val="286B210C"/>
    <w:rsid w:val="28E43974"/>
    <w:rsid w:val="2946520E"/>
    <w:rsid w:val="29D91F28"/>
    <w:rsid w:val="29E11C7D"/>
    <w:rsid w:val="2A0F7BD4"/>
    <w:rsid w:val="2A5E676F"/>
    <w:rsid w:val="2A992557"/>
    <w:rsid w:val="2AE45217"/>
    <w:rsid w:val="2B0B2D29"/>
    <w:rsid w:val="2B1A6A27"/>
    <w:rsid w:val="2B251F35"/>
    <w:rsid w:val="2B8756CA"/>
    <w:rsid w:val="2C0C0F54"/>
    <w:rsid w:val="2C1B5360"/>
    <w:rsid w:val="2C212804"/>
    <w:rsid w:val="2C4F6032"/>
    <w:rsid w:val="2C55425C"/>
    <w:rsid w:val="2C68749E"/>
    <w:rsid w:val="2CA84CAA"/>
    <w:rsid w:val="2D8172D3"/>
    <w:rsid w:val="2D965382"/>
    <w:rsid w:val="2D9F5688"/>
    <w:rsid w:val="2DC8748F"/>
    <w:rsid w:val="2E01707A"/>
    <w:rsid w:val="2EB652FF"/>
    <w:rsid w:val="2ED2272F"/>
    <w:rsid w:val="2EE0388D"/>
    <w:rsid w:val="2EF1598B"/>
    <w:rsid w:val="2EFE0AC1"/>
    <w:rsid w:val="2F1F5FD6"/>
    <w:rsid w:val="2F8F217B"/>
    <w:rsid w:val="2FDE1FDD"/>
    <w:rsid w:val="2FF272BC"/>
    <w:rsid w:val="3041265D"/>
    <w:rsid w:val="306727B0"/>
    <w:rsid w:val="307F4548"/>
    <w:rsid w:val="30F71D86"/>
    <w:rsid w:val="310962B6"/>
    <w:rsid w:val="316B2849"/>
    <w:rsid w:val="319D6E9C"/>
    <w:rsid w:val="31A879E9"/>
    <w:rsid w:val="320329AC"/>
    <w:rsid w:val="321542A7"/>
    <w:rsid w:val="32364B30"/>
    <w:rsid w:val="323836A0"/>
    <w:rsid w:val="3277529B"/>
    <w:rsid w:val="3317670F"/>
    <w:rsid w:val="33460769"/>
    <w:rsid w:val="342E5ABE"/>
    <w:rsid w:val="34B955A4"/>
    <w:rsid w:val="34E00D83"/>
    <w:rsid w:val="34FE3CD8"/>
    <w:rsid w:val="350420A0"/>
    <w:rsid w:val="3512449E"/>
    <w:rsid w:val="35327830"/>
    <w:rsid w:val="35945DDB"/>
    <w:rsid w:val="35B92201"/>
    <w:rsid w:val="36464563"/>
    <w:rsid w:val="3674246C"/>
    <w:rsid w:val="36897CD7"/>
    <w:rsid w:val="36C92122"/>
    <w:rsid w:val="3701395E"/>
    <w:rsid w:val="37425D25"/>
    <w:rsid w:val="374B2E2B"/>
    <w:rsid w:val="37AB1B1C"/>
    <w:rsid w:val="37C01BB6"/>
    <w:rsid w:val="37D7385C"/>
    <w:rsid w:val="38191CEF"/>
    <w:rsid w:val="3830716D"/>
    <w:rsid w:val="38554BAC"/>
    <w:rsid w:val="385775AE"/>
    <w:rsid w:val="388F6D48"/>
    <w:rsid w:val="38920276"/>
    <w:rsid w:val="3892596C"/>
    <w:rsid w:val="38CB73BE"/>
    <w:rsid w:val="39277A97"/>
    <w:rsid w:val="39A036EF"/>
    <w:rsid w:val="39A75836"/>
    <w:rsid w:val="3A465E06"/>
    <w:rsid w:val="3A5E69D2"/>
    <w:rsid w:val="3AFB6916"/>
    <w:rsid w:val="3AFF64F9"/>
    <w:rsid w:val="3B1B038C"/>
    <w:rsid w:val="3B824942"/>
    <w:rsid w:val="3BA30D13"/>
    <w:rsid w:val="3BBD1E1E"/>
    <w:rsid w:val="3C024B19"/>
    <w:rsid w:val="3C7D2235"/>
    <w:rsid w:val="3C9211CB"/>
    <w:rsid w:val="3D6D1026"/>
    <w:rsid w:val="3D6E37B6"/>
    <w:rsid w:val="3DA04DBA"/>
    <w:rsid w:val="3DC14D0B"/>
    <w:rsid w:val="3DF5589F"/>
    <w:rsid w:val="3E974F01"/>
    <w:rsid w:val="3EBA5D06"/>
    <w:rsid w:val="3F4A7E6C"/>
    <w:rsid w:val="3F6F1FDE"/>
    <w:rsid w:val="3F872B7F"/>
    <w:rsid w:val="40896772"/>
    <w:rsid w:val="40EA513C"/>
    <w:rsid w:val="4177481D"/>
    <w:rsid w:val="41895D03"/>
    <w:rsid w:val="41A71BEF"/>
    <w:rsid w:val="41E97960"/>
    <w:rsid w:val="41FC4308"/>
    <w:rsid w:val="42132798"/>
    <w:rsid w:val="42564F8A"/>
    <w:rsid w:val="4292190E"/>
    <w:rsid w:val="42B702D9"/>
    <w:rsid w:val="432D4123"/>
    <w:rsid w:val="43C73D8C"/>
    <w:rsid w:val="441A4FFE"/>
    <w:rsid w:val="445923FA"/>
    <w:rsid w:val="44B431FB"/>
    <w:rsid w:val="44BD4C3D"/>
    <w:rsid w:val="44E01B99"/>
    <w:rsid w:val="45B53C1D"/>
    <w:rsid w:val="45EC3A2B"/>
    <w:rsid w:val="45ED3300"/>
    <w:rsid w:val="4606774B"/>
    <w:rsid w:val="4612161E"/>
    <w:rsid w:val="462D194E"/>
    <w:rsid w:val="46B12F19"/>
    <w:rsid w:val="47217D5C"/>
    <w:rsid w:val="474527C4"/>
    <w:rsid w:val="476C2FC5"/>
    <w:rsid w:val="476E5041"/>
    <w:rsid w:val="47F36533"/>
    <w:rsid w:val="480935A0"/>
    <w:rsid w:val="481B5E95"/>
    <w:rsid w:val="484852DF"/>
    <w:rsid w:val="48C447EC"/>
    <w:rsid w:val="48C8615F"/>
    <w:rsid w:val="48DF378B"/>
    <w:rsid w:val="490529D6"/>
    <w:rsid w:val="491C4628"/>
    <w:rsid w:val="49465201"/>
    <w:rsid w:val="49627B61"/>
    <w:rsid w:val="498B765A"/>
    <w:rsid w:val="499032D8"/>
    <w:rsid w:val="49A65CF5"/>
    <w:rsid w:val="4A742241"/>
    <w:rsid w:val="4ACE485E"/>
    <w:rsid w:val="4ADA7FD1"/>
    <w:rsid w:val="4B1F43C5"/>
    <w:rsid w:val="4B3C4E66"/>
    <w:rsid w:val="4BC03FFE"/>
    <w:rsid w:val="4BDE5BC4"/>
    <w:rsid w:val="4C8C71C7"/>
    <w:rsid w:val="4CCC2A8E"/>
    <w:rsid w:val="4CEF541A"/>
    <w:rsid w:val="4D2A06C1"/>
    <w:rsid w:val="4D447CA9"/>
    <w:rsid w:val="4D665E71"/>
    <w:rsid w:val="4DA523EF"/>
    <w:rsid w:val="4DC07B35"/>
    <w:rsid w:val="4E8B5ACA"/>
    <w:rsid w:val="4ED42914"/>
    <w:rsid w:val="4EE8499E"/>
    <w:rsid w:val="4F164A55"/>
    <w:rsid w:val="4F5E1490"/>
    <w:rsid w:val="4F6A4937"/>
    <w:rsid w:val="500277F4"/>
    <w:rsid w:val="5090254B"/>
    <w:rsid w:val="50F556CC"/>
    <w:rsid w:val="50F57ED1"/>
    <w:rsid w:val="510328E3"/>
    <w:rsid w:val="511068E9"/>
    <w:rsid w:val="515E4C83"/>
    <w:rsid w:val="51C824CD"/>
    <w:rsid w:val="523E6E33"/>
    <w:rsid w:val="52515AE5"/>
    <w:rsid w:val="53106EC4"/>
    <w:rsid w:val="53235BF3"/>
    <w:rsid w:val="5416591D"/>
    <w:rsid w:val="541B35D1"/>
    <w:rsid w:val="54240834"/>
    <w:rsid w:val="5503044A"/>
    <w:rsid w:val="556B68E0"/>
    <w:rsid w:val="55823A64"/>
    <w:rsid w:val="55FD4C24"/>
    <w:rsid w:val="56236D75"/>
    <w:rsid w:val="567875A3"/>
    <w:rsid w:val="56BC5001"/>
    <w:rsid w:val="56C97FE2"/>
    <w:rsid w:val="56CA31BB"/>
    <w:rsid w:val="56EE4340"/>
    <w:rsid w:val="56FE68E2"/>
    <w:rsid w:val="57727B09"/>
    <w:rsid w:val="57E15C79"/>
    <w:rsid w:val="5866339A"/>
    <w:rsid w:val="58823E3D"/>
    <w:rsid w:val="588B4AFA"/>
    <w:rsid w:val="58A4593B"/>
    <w:rsid w:val="58C919AA"/>
    <w:rsid w:val="58F22CAF"/>
    <w:rsid w:val="597417E6"/>
    <w:rsid w:val="5986542E"/>
    <w:rsid w:val="59903907"/>
    <w:rsid w:val="59C812C8"/>
    <w:rsid w:val="5A38479B"/>
    <w:rsid w:val="5A812C86"/>
    <w:rsid w:val="5A9E508A"/>
    <w:rsid w:val="5ABA77FD"/>
    <w:rsid w:val="5AC461A2"/>
    <w:rsid w:val="5ADC0752"/>
    <w:rsid w:val="5B644842"/>
    <w:rsid w:val="5B8E7E2C"/>
    <w:rsid w:val="5C06602D"/>
    <w:rsid w:val="5C3830CF"/>
    <w:rsid w:val="5C9D56F0"/>
    <w:rsid w:val="5CF8285E"/>
    <w:rsid w:val="5D8B3A30"/>
    <w:rsid w:val="5E0314BA"/>
    <w:rsid w:val="5E2E309D"/>
    <w:rsid w:val="5E3B36E2"/>
    <w:rsid w:val="5E914D18"/>
    <w:rsid w:val="5EAB452D"/>
    <w:rsid w:val="5F011E9E"/>
    <w:rsid w:val="5F0E5B91"/>
    <w:rsid w:val="5F114598"/>
    <w:rsid w:val="5F8506A4"/>
    <w:rsid w:val="5F951C44"/>
    <w:rsid w:val="5FA02694"/>
    <w:rsid w:val="60326087"/>
    <w:rsid w:val="60443049"/>
    <w:rsid w:val="605361DC"/>
    <w:rsid w:val="610E08A2"/>
    <w:rsid w:val="61610FEB"/>
    <w:rsid w:val="61AF3E33"/>
    <w:rsid w:val="620D46B6"/>
    <w:rsid w:val="62AE304C"/>
    <w:rsid w:val="62DE4196"/>
    <w:rsid w:val="62F11C95"/>
    <w:rsid w:val="642D54E3"/>
    <w:rsid w:val="64A137DB"/>
    <w:rsid w:val="64B55B17"/>
    <w:rsid w:val="64DE19BE"/>
    <w:rsid w:val="654C2E85"/>
    <w:rsid w:val="65907AD8"/>
    <w:rsid w:val="65D50729"/>
    <w:rsid w:val="662242CD"/>
    <w:rsid w:val="66C676A3"/>
    <w:rsid w:val="670F6CB1"/>
    <w:rsid w:val="67B27625"/>
    <w:rsid w:val="67F72090"/>
    <w:rsid w:val="68090FCF"/>
    <w:rsid w:val="68091DC3"/>
    <w:rsid w:val="68195B7C"/>
    <w:rsid w:val="682D335C"/>
    <w:rsid w:val="686E049F"/>
    <w:rsid w:val="689F0032"/>
    <w:rsid w:val="696B697F"/>
    <w:rsid w:val="698646A7"/>
    <w:rsid w:val="698B6E18"/>
    <w:rsid w:val="69B217BD"/>
    <w:rsid w:val="6AA36DED"/>
    <w:rsid w:val="6B303356"/>
    <w:rsid w:val="6BBC0F0E"/>
    <w:rsid w:val="6BF40694"/>
    <w:rsid w:val="6C0438E3"/>
    <w:rsid w:val="6C2B055A"/>
    <w:rsid w:val="6C6544EE"/>
    <w:rsid w:val="6C692C46"/>
    <w:rsid w:val="6C7522FC"/>
    <w:rsid w:val="6C9932E7"/>
    <w:rsid w:val="6CA64085"/>
    <w:rsid w:val="6CCB7647"/>
    <w:rsid w:val="6CDF6306"/>
    <w:rsid w:val="6CE32BE3"/>
    <w:rsid w:val="6D142D9C"/>
    <w:rsid w:val="6D2B6926"/>
    <w:rsid w:val="6E386E8A"/>
    <w:rsid w:val="6F9901FE"/>
    <w:rsid w:val="6FE40595"/>
    <w:rsid w:val="6FEA072C"/>
    <w:rsid w:val="6FF9337E"/>
    <w:rsid w:val="70074E3A"/>
    <w:rsid w:val="70301F1E"/>
    <w:rsid w:val="704355ED"/>
    <w:rsid w:val="70AC7FE9"/>
    <w:rsid w:val="70BB598D"/>
    <w:rsid w:val="70FA04FB"/>
    <w:rsid w:val="716A5126"/>
    <w:rsid w:val="716C6309"/>
    <w:rsid w:val="71957DA3"/>
    <w:rsid w:val="723247FB"/>
    <w:rsid w:val="72E2393D"/>
    <w:rsid w:val="72F316A6"/>
    <w:rsid w:val="73360A29"/>
    <w:rsid w:val="73CC7691"/>
    <w:rsid w:val="73F13E37"/>
    <w:rsid w:val="74832BB6"/>
    <w:rsid w:val="749A63B4"/>
    <w:rsid w:val="74A810B1"/>
    <w:rsid w:val="74AC140B"/>
    <w:rsid w:val="74AD77E0"/>
    <w:rsid w:val="74E23798"/>
    <w:rsid w:val="758D6DD9"/>
    <w:rsid w:val="759F0D1C"/>
    <w:rsid w:val="75A650F5"/>
    <w:rsid w:val="76525DAB"/>
    <w:rsid w:val="768252F7"/>
    <w:rsid w:val="76CB3D9D"/>
    <w:rsid w:val="77690189"/>
    <w:rsid w:val="777803CC"/>
    <w:rsid w:val="77C335BA"/>
    <w:rsid w:val="77ED7D29"/>
    <w:rsid w:val="785904E4"/>
    <w:rsid w:val="78CD4D0D"/>
    <w:rsid w:val="79162175"/>
    <w:rsid w:val="795A3CDE"/>
    <w:rsid w:val="7991596C"/>
    <w:rsid w:val="7A593ECA"/>
    <w:rsid w:val="7A68724D"/>
    <w:rsid w:val="7A85352B"/>
    <w:rsid w:val="7AE91D77"/>
    <w:rsid w:val="7AE96D2F"/>
    <w:rsid w:val="7B254927"/>
    <w:rsid w:val="7B822242"/>
    <w:rsid w:val="7B8F5E87"/>
    <w:rsid w:val="7BB15EA8"/>
    <w:rsid w:val="7BDA78A7"/>
    <w:rsid w:val="7BF56F4D"/>
    <w:rsid w:val="7C3353E9"/>
    <w:rsid w:val="7C3A0345"/>
    <w:rsid w:val="7CC13AEF"/>
    <w:rsid w:val="7CE808FB"/>
    <w:rsid w:val="7D4A035D"/>
    <w:rsid w:val="7DD91F65"/>
    <w:rsid w:val="7E1766FF"/>
    <w:rsid w:val="7EA146AC"/>
    <w:rsid w:val="7EDB1C12"/>
    <w:rsid w:val="7EFE3CC8"/>
    <w:rsid w:val="7F483A16"/>
    <w:rsid w:val="7F5C682A"/>
    <w:rsid w:val="7FFB18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next w:val="1"/>
    <w:qFormat/>
    <w:uiPriority w:val="0"/>
    <w:pPr>
      <w:widowControl/>
      <w:spacing w:before="100" w:beforeAutospacing="1" w:after="100" w:afterAutospacing="1"/>
      <w:jc w:val="left"/>
    </w:pPr>
    <w:rPr>
      <w:rFonts w:ascii="宋体" w:hAnsi="宋体" w:eastAsia="宋体"/>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2"/>
    <w:basedOn w:val="4"/>
    <w:unhideWhenUsed/>
    <w:qFormat/>
    <w:uiPriority w:val="99"/>
    <w:pPr>
      <w:ind w:firstLine="42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3"/>
    <w:basedOn w:val="1"/>
    <w:next w:val="15"/>
    <w:unhideWhenUsed/>
    <w:qFormat/>
    <w:uiPriority w:val="99"/>
    <w:pPr>
      <w:spacing w:line="360" w:lineRule="auto"/>
      <w:ind w:firstLine="420" w:firstLineChars="200"/>
      <w:jc w:val="left"/>
    </w:pPr>
    <w:rPr>
      <w:rFonts w:ascii="Times New Roman" w:hAnsi="Times New Roman" w:eastAsia="仿宋"/>
      <w:sz w:val="32"/>
      <w:lang w:eastAsia="zh-TW"/>
    </w:rPr>
  </w:style>
  <w:style w:type="paragraph" w:customStyle="1" w:styleId="15">
    <w:name w:val="List Paragraph"/>
    <w:basedOn w:val="1"/>
    <w:qFormat/>
    <w:uiPriority w:val="34"/>
    <w:pPr>
      <w:ind w:firstLine="420" w:firstLineChars="200"/>
    </w:pPr>
  </w:style>
  <w:style w:type="paragraph" w:customStyle="1" w:styleId="16">
    <w:name w:val="Chy报告正文"/>
    <w:basedOn w:val="1"/>
    <w:next w:val="1"/>
    <w:qFormat/>
    <w:uiPriority w:val="0"/>
    <w:pPr>
      <w:spacing w:line="560" w:lineRule="exact"/>
      <w:ind w:firstLine="200" w:firstLineChars="200"/>
    </w:pPr>
    <w:rPr>
      <w:rFonts w:ascii="宋体" w:hAnsi="宋体" w:eastAsia="仿宋_GB2312" w:cstheme="minorBidi"/>
      <w:sz w:val="32"/>
      <w:szCs w:val="28"/>
    </w:r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25</Pages>
  <Words>2439</Words>
  <Characters>2654</Characters>
  <Lines>14</Lines>
  <Paragraphs>4</Paragraphs>
  <TotalTime>0</TotalTime>
  <ScaleCrop>false</ScaleCrop>
  <LinksUpToDate>false</LinksUpToDate>
  <CharactersWithSpaces>2665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Administrator</cp:lastModifiedBy>
  <cp:lastPrinted>2025-08-04T08:07:00Z</cp:lastPrinted>
  <dcterms:modified xsi:type="dcterms:W3CDTF">2025-09-15T06:03:28Z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DFC741ED01F84B5BAAC804E705909F5C_12</vt:lpwstr>
  </property>
  <property fmtid="{D5CDD505-2E9C-101B-9397-08002B2CF9AE}" pid="4" name="KSOTemplateDocerSaveRecord">
    <vt:lpwstr>eyJoZGlkIjoiYjJjOTQxYzhjODMyMDAzZmE0MDJkMWFkNmJlNDkwYTUiLCJ1c2VySWQiOiI2Mjc3MTQ2NTgifQ==</vt:lpwstr>
  </property>
</Properties>
</file>