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青岛市住房公积金行政执法主体清单</w:t>
      </w:r>
    </w:p>
    <w:p>
      <w:pPr>
        <w:jc w:val="center"/>
        <w:rPr>
          <w:b/>
          <w:sz w:val="44"/>
          <w:szCs w:val="44"/>
        </w:rPr>
      </w:pPr>
    </w:p>
    <w:tbl>
      <w:tblPr>
        <w:tblStyle w:val="6"/>
        <w:tblW w:w="0" w:type="auto"/>
        <w:tblInd w:w="90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601"/>
        <w:gridCol w:w="667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vAlign w:val="center"/>
          </w:tcPr>
          <w:p>
            <w:pPr>
              <w:pStyle w:val="11"/>
              <w:ind w:firstLine="0" w:firstLineChars="0"/>
              <w:jc w:val="center"/>
              <w:rPr>
                <w:rFonts w:ascii="仿宋_GB2312" w:hAnsi="仿宋" w:eastAsia="仿宋_GB2312"/>
                <w:b/>
                <w:sz w:val="32"/>
                <w:szCs w:val="32"/>
              </w:rPr>
            </w:pPr>
            <w:r>
              <w:rPr>
                <w:rFonts w:hint="eastAsia" w:ascii="仿宋_GB2312" w:hAnsi="仿宋" w:eastAsia="仿宋_GB2312"/>
                <w:b/>
                <w:sz w:val="32"/>
                <w:szCs w:val="32"/>
              </w:rPr>
              <w:t>执法主体机构名称</w:t>
            </w:r>
          </w:p>
        </w:tc>
        <w:tc>
          <w:tcPr>
            <w:tcW w:w="7087" w:type="dxa"/>
          </w:tcPr>
          <w:p>
            <w:pPr>
              <w:pStyle w:val="11"/>
              <w:ind w:firstLine="0" w:firstLineChars="0"/>
              <w:jc w:val="left"/>
              <w:rPr>
                <w:rFonts w:ascii="仿宋_GB2312" w:eastAsia="仿宋_GB2312"/>
                <w:b/>
                <w:sz w:val="32"/>
                <w:szCs w:val="32"/>
              </w:rPr>
            </w:pPr>
            <w:r>
              <w:rPr>
                <w:rFonts w:hint="eastAsia" w:ascii="仿宋_GB2312" w:hAnsi="仿宋" w:eastAsia="仿宋_GB2312"/>
                <w:sz w:val="32"/>
                <w:szCs w:val="32"/>
              </w:rPr>
              <w:t>青岛市住房公积金管理中心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vAlign w:val="center"/>
          </w:tcPr>
          <w:p>
            <w:pPr>
              <w:pStyle w:val="11"/>
              <w:ind w:firstLine="0" w:firstLineChars="0"/>
              <w:jc w:val="center"/>
              <w:rPr>
                <w:rFonts w:ascii="仿宋_GB2312" w:hAnsi="仿宋" w:eastAsia="仿宋_GB2312"/>
                <w:b/>
                <w:sz w:val="32"/>
                <w:szCs w:val="32"/>
              </w:rPr>
            </w:pPr>
            <w:r>
              <w:rPr>
                <w:rFonts w:hint="eastAsia" w:ascii="仿宋_GB2312" w:hAnsi="仿宋" w:eastAsia="仿宋_GB2312"/>
                <w:b/>
                <w:sz w:val="32"/>
                <w:szCs w:val="32"/>
              </w:rPr>
              <w:t>机构性质</w:t>
            </w:r>
          </w:p>
        </w:tc>
        <w:tc>
          <w:tcPr>
            <w:tcW w:w="7087" w:type="dxa"/>
          </w:tcPr>
          <w:p>
            <w:pPr>
              <w:pStyle w:val="11"/>
              <w:ind w:firstLine="0" w:firstLineChars="0"/>
              <w:jc w:val="left"/>
              <w:rPr>
                <w:rFonts w:ascii="仿宋_GB2312" w:hAnsi="仿宋" w:eastAsia="仿宋_GB2312"/>
                <w:sz w:val="32"/>
                <w:szCs w:val="32"/>
              </w:rPr>
            </w:pPr>
            <w:r>
              <w:rPr>
                <w:rFonts w:hint="eastAsia" w:ascii="仿宋_GB2312" w:hAnsi="仿宋" w:eastAsia="仿宋_GB2312"/>
                <w:sz w:val="32"/>
                <w:szCs w:val="32"/>
              </w:rPr>
              <w:t>事业单位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vAlign w:val="center"/>
          </w:tcPr>
          <w:p>
            <w:pPr>
              <w:pStyle w:val="11"/>
              <w:ind w:firstLine="0" w:firstLineChars="0"/>
              <w:jc w:val="center"/>
              <w:rPr>
                <w:rFonts w:ascii="仿宋_GB2312" w:eastAsia="仿宋_GB2312"/>
                <w:b/>
                <w:sz w:val="32"/>
                <w:szCs w:val="32"/>
              </w:rPr>
            </w:pPr>
            <w:r>
              <w:rPr>
                <w:rFonts w:hint="eastAsia" w:ascii="仿宋_GB2312" w:eastAsia="仿宋_GB2312"/>
                <w:b/>
                <w:sz w:val="32"/>
                <w:szCs w:val="32"/>
              </w:rPr>
              <w:t>经费来源</w:t>
            </w:r>
          </w:p>
        </w:tc>
        <w:tc>
          <w:tcPr>
            <w:tcW w:w="7087" w:type="dxa"/>
          </w:tcPr>
          <w:p>
            <w:pPr>
              <w:pStyle w:val="11"/>
              <w:ind w:firstLine="0" w:firstLineChars="0"/>
              <w:jc w:val="left"/>
              <w:rPr>
                <w:rFonts w:ascii="仿宋_GB2312" w:eastAsia="仿宋_GB2312"/>
                <w:sz w:val="32"/>
                <w:szCs w:val="32"/>
              </w:rPr>
            </w:pPr>
            <w:r>
              <w:rPr>
                <w:rFonts w:hint="eastAsia" w:ascii="仿宋_GB2312" w:eastAsia="仿宋_GB2312"/>
                <w:sz w:val="32"/>
                <w:szCs w:val="32"/>
              </w:rPr>
              <w:t>自收自支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vAlign w:val="center"/>
          </w:tcPr>
          <w:p>
            <w:pPr>
              <w:pStyle w:val="11"/>
              <w:ind w:firstLine="0" w:firstLineChars="0"/>
              <w:jc w:val="center"/>
              <w:rPr>
                <w:rFonts w:ascii="仿宋_GB2312" w:eastAsia="仿宋_GB2312"/>
                <w:b/>
                <w:sz w:val="32"/>
                <w:szCs w:val="32"/>
              </w:rPr>
            </w:pPr>
            <w:r>
              <w:rPr>
                <w:rFonts w:hint="eastAsia" w:ascii="仿宋_GB2312" w:eastAsia="仿宋_GB2312"/>
                <w:b/>
                <w:sz w:val="32"/>
                <w:szCs w:val="32"/>
              </w:rPr>
              <w:t>队伍编制状况</w:t>
            </w:r>
          </w:p>
        </w:tc>
        <w:tc>
          <w:tcPr>
            <w:tcW w:w="7087" w:type="dxa"/>
          </w:tcPr>
          <w:p>
            <w:pPr>
              <w:ind w:firstLine="9" w:firstLineChars="3"/>
              <w:rPr>
                <w:rFonts w:ascii="仿宋_GB2312" w:eastAsia="仿宋_GB2312"/>
                <w:sz w:val="32"/>
                <w:szCs w:val="32"/>
              </w:rPr>
            </w:pPr>
            <w:r>
              <w:rPr>
                <w:rFonts w:hint="eastAsia" w:ascii="仿宋_GB2312" w:eastAsia="仿宋_GB2312"/>
                <w:sz w:val="32"/>
                <w:szCs w:val="32"/>
              </w:rPr>
              <w:t>事业编制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7087" w:type="dxa"/>
          </w:tcPr>
          <w:p>
            <w:pPr>
              <w:pStyle w:val="11"/>
              <w:ind w:firstLine="0" w:firstLineChars="0"/>
              <w:jc w:val="center"/>
              <w:rPr>
                <w:rFonts w:ascii="仿宋_GB2312" w:eastAsia="仿宋_GB2312"/>
                <w:b/>
                <w:sz w:val="32"/>
                <w:szCs w:val="32"/>
              </w:rPr>
            </w:pPr>
            <w:r>
              <w:rPr>
                <w:rFonts w:hint="eastAsia" w:ascii="仿宋_GB2312" w:eastAsia="仿宋_GB2312"/>
                <w:b/>
                <w:sz w:val="32"/>
                <w:szCs w:val="32"/>
              </w:rPr>
              <w:t>主体类别</w:t>
            </w:r>
          </w:p>
        </w:tc>
        <w:tc>
          <w:tcPr>
            <w:tcW w:w="7087" w:type="dxa"/>
          </w:tcPr>
          <w:p>
            <w:pPr>
              <w:ind w:firstLine="9" w:firstLineChars="3"/>
              <w:rPr>
                <w:rFonts w:ascii="仿宋_GB2312" w:eastAsia="仿宋_GB2312"/>
                <w:sz w:val="32"/>
                <w:szCs w:val="32"/>
              </w:rPr>
            </w:pPr>
            <w:r>
              <w:rPr>
                <w:rFonts w:hint="eastAsia" w:ascii="仿宋_GB2312" w:eastAsia="仿宋_GB2312"/>
                <w:sz w:val="32"/>
                <w:szCs w:val="32"/>
              </w:rPr>
              <w:t>法律法规授权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tcPr>
          <w:p>
            <w:pPr>
              <w:pStyle w:val="11"/>
              <w:ind w:firstLine="0" w:firstLineChars="0"/>
              <w:jc w:val="center"/>
              <w:rPr>
                <w:rFonts w:ascii="仿宋_GB2312" w:eastAsia="仿宋_GB2312"/>
                <w:b/>
                <w:sz w:val="32"/>
                <w:szCs w:val="32"/>
              </w:rPr>
            </w:pPr>
            <w:r>
              <w:rPr>
                <w:rFonts w:hint="eastAsia" w:ascii="仿宋_GB2312" w:eastAsia="仿宋_GB2312"/>
                <w:b/>
                <w:sz w:val="32"/>
                <w:szCs w:val="32"/>
              </w:rPr>
              <w:t>执法职责和权限</w:t>
            </w:r>
          </w:p>
        </w:tc>
        <w:tc>
          <w:tcPr>
            <w:tcW w:w="7087" w:type="dxa"/>
          </w:tcPr>
          <w:p>
            <w:pPr>
              <w:pStyle w:val="11"/>
              <w:ind w:firstLine="0" w:firstLineChars="0"/>
              <w:jc w:val="left"/>
              <w:rPr>
                <w:rFonts w:ascii="仿宋_GB2312" w:hAnsi="仿宋" w:eastAsia="仿宋_GB2312"/>
                <w:sz w:val="32"/>
                <w:szCs w:val="32"/>
              </w:rPr>
            </w:pPr>
            <w:r>
              <w:rPr>
                <w:rFonts w:hint="eastAsia" w:ascii="仿宋_GB2312" w:hAnsi="仿宋" w:eastAsia="仿宋_GB2312"/>
                <w:sz w:val="32"/>
                <w:szCs w:val="32"/>
              </w:rPr>
              <w:t xml:space="preserve">    违反《住房公积金管理条例》的规定，单位不办理住房公积金缴存登记或者不为本单位职工办理住房公积金账户设立手续的，由住房公积金管理中心责令限期办理；逾期不办理的，处1万元以上5万元以下的罚款。</w:t>
            </w:r>
            <w:r>
              <w:rPr>
                <w:rFonts w:ascii="仿宋_GB2312" w:hAnsi="仿宋" w:eastAsia="仿宋_GB2312"/>
                <w:sz w:val="32"/>
                <w:szCs w:val="32"/>
              </w:rPr>
              <w:t xml:space="preserve"> </w:t>
            </w:r>
          </w:p>
          <w:p>
            <w:pPr>
              <w:pStyle w:val="11"/>
              <w:ind w:firstLine="0" w:firstLineChars="0"/>
              <w:jc w:val="left"/>
              <w:rPr>
                <w:color w:val="505050"/>
                <w:sz w:val="18"/>
                <w:szCs w:val="18"/>
              </w:rPr>
            </w:pPr>
            <w:r>
              <w:rPr>
                <w:rFonts w:hint="eastAsia" w:ascii="仿宋_GB2312" w:hAnsi="仿宋" w:eastAsia="仿宋_GB2312"/>
                <w:sz w:val="32"/>
                <w:szCs w:val="32"/>
              </w:rPr>
              <w:t xml:space="preserve">    违反《住房公积金管理条例》的规定，单位逾期不缴或者少缴住房公积金的，由住房公积金管理中心责令限期缴存；逾期仍不缴存的，可以申请人民法院强制执行。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tcPr>
          <w:p>
            <w:pPr>
              <w:pStyle w:val="11"/>
              <w:ind w:firstLine="0" w:firstLineChars="0"/>
              <w:jc w:val="center"/>
              <w:rPr>
                <w:rFonts w:ascii="仿宋_GB2312" w:eastAsia="仿宋_GB2312"/>
                <w:b/>
                <w:sz w:val="32"/>
                <w:szCs w:val="32"/>
              </w:rPr>
            </w:pPr>
            <w:r>
              <w:rPr>
                <w:rFonts w:hint="eastAsia" w:ascii="仿宋_GB2312" w:eastAsia="仿宋_GB2312"/>
                <w:b/>
                <w:sz w:val="32"/>
                <w:szCs w:val="32"/>
              </w:rPr>
              <w:t>法定代表人</w:t>
            </w:r>
          </w:p>
        </w:tc>
        <w:tc>
          <w:tcPr>
            <w:tcW w:w="7087" w:type="dxa"/>
          </w:tcPr>
          <w:p>
            <w:pPr>
              <w:pStyle w:val="11"/>
              <w:ind w:firstLine="0" w:firstLineChars="0"/>
              <w:jc w:val="left"/>
              <w:rPr>
                <w:rFonts w:hint="eastAsia" w:ascii="仿宋_GB2312" w:eastAsia="仿宋_GB2312"/>
                <w:sz w:val="32"/>
                <w:szCs w:val="32"/>
                <w:lang w:eastAsia="zh-CN"/>
              </w:rPr>
            </w:pPr>
            <w:r>
              <w:rPr>
                <w:rFonts w:hint="eastAsia" w:ascii="仿宋_GB2312" w:eastAsia="仿宋_GB2312"/>
                <w:sz w:val="32"/>
                <w:szCs w:val="32"/>
                <w:lang w:eastAsia="zh-CN"/>
              </w:rPr>
              <w:t>曹彦平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7" w:type="dxa"/>
            <w:vAlign w:val="center"/>
          </w:tcPr>
          <w:p>
            <w:pPr>
              <w:pStyle w:val="11"/>
              <w:ind w:firstLine="0" w:firstLineChars="0"/>
              <w:jc w:val="center"/>
              <w:rPr>
                <w:rFonts w:ascii="仿宋_GB2312" w:eastAsia="仿宋_GB2312"/>
                <w:b/>
                <w:sz w:val="32"/>
                <w:szCs w:val="32"/>
              </w:rPr>
            </w:pPr>
            <w:r>
              <w:rPr>
                <w:rFonts w:hint="eastAsia" w:ascii="仿宋_GB2312" w:eastAsia="仿宋_GB2312"/>
                <w:b/>
                <w:sz w:val="32"/>
                <w:szCs w:val="32"/>
              </w:rPr>
              <w:t>单位地址</w:t>
            </w:r>
          </w:p>
        </w:tc>
        <w:tc>
          <w:tcPr>
            <w:tcW w:w="7087" w:type="dxa"/>
          </w:tcPr>
          <w:p>
            <w:pPr>
              <w:rPr>
                <w:rStyle w:val="8"/>
                <w:rFonts w:hint="default" w:ascii="仿宋_GB2312" w:eastAsia="仿宋_GB2312"/>
                <w:b w:val="0"/>
                <w:bCs w:val="0"/>
                <w:color w:val="000000"/>
                <w:sz w:val="32"/>
                <w:szCs w:val="32"/>
                <w:lang w:val="en-US" w:eastAsia="zh-CN"/>
              </w:rPr>
            </w:pPr>
            <w:r>
              <w:rPr>
                <w:rStyle w:val="8"/>
                <w:rFonts w:hint="eastAsia" w:ascii="仿宋_GB2312" w:eastAsia="仿宋_GB2312"/>
                <w:b w:val="0"/>
                <w:bCs w:val="0"/>
                <w:color w:val="000000"/>
                <w:sz w:val="32"/>
                <w:szCs w:val="32"/>
              </w:rPr>
              <w:t>青岛市</w:t>
            </w:r>
            <w:r>
              <w:rPr>
                <w:rStyle w:val="8"/>
                <w:rFonts w:hint="eastAsia" w:ascii="仿宋_GB2312" w:eastAsia="仿宋_GB2312"/>
                <w:b w:val="0"/>
                <w:bCs w:val="0"/>
                <w:color w:val="000000"/>
                <w:sz w:val="32"/>
                <w:szCs w:val="32"/>
                <w:lang w:val="en-US" w:eastAsia="zh-CN"/>
              </w:rPr>
              <w:t>崂山区秦岭路6号永新国际广场T1楼</w:t>
            </w: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7087" w:type="dxa"/>
            <w:vAlign w:val="center"/>
          </w:tcPr>
          <w:p>
            <w:pPr>
              <w:pStyle w:val="11"/>
              <w:ind w:firstLine="0" w:firstLineChars="0"/>
              <w:jc w:val="center"/>
              <w:rPr>
                <w:rFonts w:ascii="仿宋_GB2312" w:eastAsia="仿宋_GB2312"/>
                <w:b/>
                <w:sz w:val="32"/>
                <w:szCs w:val="32"/>
              </w:rPr>
            </w:pPr>
            <w:r>
              <w:rPr>
                <w:rFonts w:hint="eastAsia" w:ascii="仿宋_GB2312" w:eastAsia="仿宋_GB2312"/>
                <w:b/>
                <w:sz w:val="32"/>
                <w:szCs w:val="32"/>
              </w:rPr>
              <w:t>投诉举报电话</w:t>
            </w:r>
          </w:p>
        </w:tc>
        <w:tc>
          <w:tcPr>
            <w:tcW w:w="7087" w:type="dxa"/>
          </w:tcPr>
          <w:p>
            <w:pPr>
              <w:rPr>
                <w:rFonts w:ascii="仿宋_GB2312" w:eastAsia="仿宋_GB2312"/>
                <w:b/>
                <w:sz w:val="32"/>
                <w:szCs w:val="32"/>
              </w:rPr>
            </w:pPr>
            <w:r>
              <w:rPr>
                <w:rStyle w:val="8"/>
                <w:rFonts w:hint="eastAsia" w:ascii="仿宋_GB2312" w:eastAsia="仿宋_GB2312"/>
                <w:b w:val="0"/>
                <w:bCs w:val="0"/>
                <w:color w:val="000000"/>
                <w:sz w:val="32"/>
                <w:szCs w:val="32"/>
              </w:rPr>
              <w:t>83096797</w:t>
            </w:r>
          </w:p>
        </w:tc>
      </w:tr>
    </w:tbl>
    <w:p>
      <w:pPr>
        <w:pStyle w:val="11"/>
        <w:ind w:left="900" w:firstLine="0" w:firstLineChars="0"/>
        <w:jc w:val="left"/>
        <w:rPr>
          <w:rFonts w:ascii="仿宋_GB2312" w:eastAsia="仿宋_GB2312"/>
          <w:b/>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Q1OWRjNDMzODQ3MWZiYzQwOGFiOGY1Y2NlMThhOGMifQ=="/>
  </w:docVars>
  <w:rsids>
    <w:rsidRoot w:val="00391AFB"/>
    <w:rsid w:val="000049DA"/>
    <w:rsid w:val="00057227"/>
    <w:rsid w:val="000D6AD9"/>
    <w:rsid w:val="00167125"/>
    <w:rsid w:val="001964E4"/>
    <w:rsid w:val="00220A2F"/>
    <w:rsid w:val="00315AF2"/>
    <w:rsid w:val="00391AFB"/>
    <w:rsid w:val="00397CF5"/>
    <w:rsid w:val="003F2902"/>
    <w:rsid w:val="004363D2"/>
    <w:rsid w:val="00475BF5"/>
    <w:rsid w:val="004A7B5F"/>
    <w:rsid w:val="005B319C"/>
    <w:rsid w:val="007C1894"/>
    <w:rsid w:val="007E3DB4"/>
    <w:rsid w:val="009A3F8A"/>
    <w:rsid w:val="009E6E31"/>
    <w:rsid w:val="00A25638"/>
    <w:rsid w:val="00A83FB4"/>
    <w:rsid w:val="00D0231A"/>
    <w:rsid w:val="00E03913"/>
    <w:rsid w:val="00E52521"/>
    <w:rsid w:val="00E96F01"/>
    <w:rsid w:val="00EA7A76"/>
    <w:rsid w:val="00F846A3"/>
    <w:rsid w:val="00FF0FC2"/>
    <w:rsid w:val="17A348EF"/>
    <w:rsid w:val="4EB50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Strong"/>
    <w:basedOn w:val="7"/>
    <w:qFormat/>
    <w:uiPriority w:val="0"/>
    <w:rPr>
      <w:b/>
      <w:bCs/>
    </w:rPr>
  </w:style>
  <w:style w:type="character" w:customStyle="1" w:styleId="9">
    <w:name w:val="页眉 Char"/>
    <w:basedOn w:val="7"/>
    <w:link w:val="3"/>
    <w:semiHidden/>
    <w:qFormat/>
    <w:uiPriority w:val="99"/>
    <w:rPr>
      <w:sz w:val="18"/>
      <w:szCs w:val="18"/>
    </w:rPr>
  </w:style>
  <w:style w:type="character" w:customStyle="1" w:styleId="10">
    <w:name w:val="页脚 Char"/>
    <w:basedOn w:val="7"/>
    <w:link w:val="2"/>
    <w:semiHidden/>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276</Words>
  <Characters>283</Characters>
  <Lines>2</Lines>
  <Paragraphs>1</Paragraphs>
  <TotalTime>114</TotalTime>
  <ScaleCrop>false</ScaleCrop>
  <LinksUpToDate>false</LinksUpToDate>
  <CharactersWithSpaces>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2017-11-16T06:40:00Z</dcterms:created>
  <dc:creator>dell</dc:creator>
  <cp:lastModifiedBy>db2admin</cp:lastModifiedBy>
  <dcterms:modified xsi:type="dcterms:W3CDTF">2023-07-13T07:50:18Z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976A73428E41436585DDDE48FC88DCDF_12</vt:lpwstr>
  </property>
</Properties>
</file>